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3CBD" w14:textId="61C8DA76" w:rsidR="00620377" w:rsidRPr="00094C09" w:rsidRDefault="00094C09" w:rsidP="00620377">
      <w:pPr>
        <w:pStyle w:val="Handbuchtitel"/>
      </w:pPr>
      <w:r w:rsidRPr="00094C09">
        <w:t xml:space="preserve">Handbuch </w:t>
      </w:r>
      <w:r w:rsidR="00620377" w:rsidRPr="00094C09">
        <w:t>Logisti</w:t>
      </w:r>
      <w:r w:rsidR="00880837">
        <w:t>k</w:t>
      </w:r>
      <w:r w:rsidRPr="00094C09">
        <w:br/>
        <w:t xml:space="preserve"> </w:t>
      </w:r>
      <w:r w:rsidR="00BF3B86">
        <w:br/>
      </w:r>
      <w:r w:rsidRPr="00094C09">
        <w:t xml:space="preserve">GRAMMER </w:t>
      </w:r>
      <w:r w:rsidR="009048B7">
        <w:t>Group</w:t>
      </w:r>
    </w:p>
    <w:p w14:paraId="2B35FA99" w14:textId="77777777" w:rsidR="00620377" w:rsidRDefault="00620377" w:rsidP="00620377">
      <w:pPr>
        <w:pStyle w:val="Bereich"/>
        <w:spacing w:after="720"/>
      </w:pPr>
      <w:r>
        <w:t xml:space="preserve">Group </w:t>
      </w:r>
      <w:proofErr w:type="spellStart"/>
      <w:r>
        <w:t>Logistics</w:t>
      </w:r>
      <w:proofErr w:type="spellEnd"/>
    </w:p>
    <w:p w14:paraId="50DB948D" w14:textId="77777777" w:rsidR="00673A04" w:rsidRDefault="00673A04" w:rsidP="009C74C8">
      <w:pPr>
        <w:rPr>
          <w:sz w:val="20"/>
          <w:szCs w:val="20"/>
        </w:rPr>
      </w:pPr>
    </w:p>
    <w:p w14:paraId="12DEBE51" w14:textId="77777777" w:rsidR="00673A04" w:rsidRDefault="00673A04" w:rsidP="009C74C8">
      <w:pPr>
        <w:rPr>
          <w:sz w:val="20"/>
          <w:szCs w:val="20"/>
        </w:rPr>
      </w:pPr>
    </w:p>
    <w:p w14:paraId="0637DBC8" w14:textId="77777777" w:rsidR="00673A04" w:rsidRDefault="00673A04" w:rsidP="009C74C8">
      <w:pPr>
        <w:rPr>
          <w:sz w:val="20"/>
          <w:szCs w:val="20"/>
        </w:rPr>
      </w:pPr>
    </w:p>
    <w:p w14:paraId="27F73D88" w14:textId="77777777" w:rsidR="00A84944" w:rsidRPr="009C74C8" w:rsidRDefault="008C429E" w:rsidP="009C74C8">
      <w:pPr>
        <w:rPr>
          <w:b/>
        </w:rPr>
      </w:pPr>
      <w:r w:rsidRPr="00181916">
        <w:rPr>
          <w:sz w:val="20"/>
          <w:szCs w:val="20"/>
        </w:rPr>
        <w:br w:type="page"/>
      </w:r>
      <w:r w:rsidRPr="009C74C8">
        <w:rPr>
          <w:b/>
        </w:rPr>
        <w:t>Inhaltsverzeichnis</w:t>
      </w:r>
    </w:p>
    <w:p w14:paraId="530054E2" w14:textId="77777777" w:rsidR="008C429E" w:rsidRDefault="008C429E" w:rsidP="00A84944">
      <w:pPr>
        <w:rPr>
          <w:sz w:val="20"/>
          <w:szCs w:val="20"/>
        </w:rPr>
      </w:pPr>
    </w:p>
    <w:p w14:paraId="26A38539" w14:textId="637EC120" w:rsidR="004C6B34" w:rsidRPr="004C6B34" w:rsidRDefault="00CC217C">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"1-2" </w:instrText>
      </w:r>
      <w:r>
        <w:fldChar w:fldCharType="separate"/>
      </w:r>
      <w:r w:rsidR="004C6B34">
        <w:rPr>
          <w:noProof/>
        </w:rPr>
        <w:t>1</w:t>
      </w:r>
      <w:r w:rsidR="004C6B34" w:rsidRPr="004C6B34">
        <w:rPr>
          <w:rFonts w:asciiTheme="minorHAnsi" w:eastAsiaTheme="minorEastAsia" w:hAnsiTheme="minorHAnsi" w:cstheme="minorBidi"/>
          <w:b w:val="0"/>
          <w:noProof/>
          <w:kern w:val="2"/>
          <w:sz w:val="24"/>
          <w:szCs w:val="24"/>
          <w14:ligatures w14:val="standardContextual"/>
        </w:rPr>
        <w:tab/>
      </w:r>
      <w:r w:rsidR="004C6B34">
        <w:rPr>
          <w:noProof/>
        </w:rPr>
        <w:t>Vorwort</w:t>
      </w:r>
      <w:r w:rsidR="004C6B34">
        <w:rPr>
          <w:noProof/>
        </w:rPr>
        <w:tab/>
      </w:r>
      <w:r w:rsidR="004C6B34">
        <w:rPr>
          <w:noProof/>
        </w:rPr>
        <w:fldChar w:fldCharType="begin"/>
      </w:r>
      <w:r w:rsidR="004C6B34">
        <w:rPr>
          <w:noProof/>
        </w:rPr>
        <w:instrText xml:space="preserve"> PAGEREF _Toc188346293 \h </w:instrText>
      </w:r>
      <w:r w:rsidR="004C6B34">
        <w:rPr>
          <w:noProof/>
        </w:rPr>
      </w:r>
      <w:r w:rsidR="004C6B34">
        <w:rPr>
          <w:noProof/>
        </w:rPr>
        <w:fldChar w:fldCharType="separate"/>
      </w:r>
      <w:r w:rsidR="004C6B34">
        <w:rPr>
          <w:noProof/>
        </w:rPr>
        <w:t>3</w:t>
      </w:r>
      <w:r w:rsidR="004C6B34">
        <w:rPr>
          <w:noProof/>
        </w:rPr>
        <w:fldChar w:fldCharType="end"/>
      </w:r>
    </w:p>
    <w:p w14:paraId="6A3A9ED7" w14:textId="208762DE" w:rsidR="004C6B34" w:rsidRPr="004C6B34" w:rsidRDefault="004C6B34">
      <w:pPr>
        <w:pStyle w:val="TOC1"/>
        <w:rPr>
          <w:rFonts w:asciiTheme="minorHAnsi" w:eastAsiaTheme="minorEastAsia" w:hAnsiTheme="minorHAnsi" w:cstheme="minorBidi"/>
          <w:b w:val="0"/>
          <w:noProof/>
          <w:kern w:val="2"/>
          <w:sz w:val="24"/>
          <w:szCs w:val="24"/>
          <w14:ligatures w14:val="standardContextual"/>
        </w:rPr>
      </w:pPr>
      <w:r>
        <w:rPr>
          <w:noProof/>
          <w:lang w:eastAsia="de-DE"/>
        </w:rPr>
        <w:t>2</w:t>
      </w:r>
      <w:r w:rsidRPr="004C6B34">
        <w:rPr>
          <w:rFonts w:asciiTheme="minorHAnsi" w:eastAsiaTheme="minorEastAsia" w:hAnsiTheme="minorHAnsi" w:cstheme="minorBidi"/>
          <w:b w:val="0"/>
          <w:noProof/>
          <w:kern w:val="2"/>
          <w:sz w:val="24"/>
          <w:szCs w:val="24"/>
          <w14:ligatures w14:val="standardContextual"/>
        </w:rPr>
        <w:tab/>
      </w:r>
      <w:r>
        <w:rPr>
          <w:noProof/>
          <w:lang w:eastAsia="de-DE"/>
        </w:rPr>
        <w:t>Information und Kommunikation</w:t>
      </w:r>
      <w:r>
        <w:rPr>
          <w:noProof/>
        </w:rPr>
        <w:tab/>
      </w:r>
      <w:r>
        <w:rPr>
          <w:noProof/>
        </w:rPr>
        <w:fldChar w:fldCharType="begin"/>
      </w:r>
      <w:r>
        <w:rPr>
          <w:noProof/>
        </w:rPr>
        <w:instrText xml:space="preserve"> PAGEREF _Toc188346294 \h </w:instrText>
      </w:r>
      <w:r>
        <w:rPr>
          <w:noProof/>
        </w:rPr>
      </w:r>
      <w:r>
        <w:rPr>
          <w:noProof/>
        </w:rPr>
        <w:fldChar w:fldCharType="separate"/>
      </w:r>
      <w:r>
        <w:rPr>
          <w:noProof/>
        </w:rPr>
        <w:t>4</w:t>
      </w:r>
      <w:r>
        <w:rPr>
          <w:noProof/>
        </w:rPr>
        <w:fldChar w:fldCharType="end"/>
      </w:r>
    </w:p>
    <w:p w14:paraId="65EC94B7" w14:textId="1F1CB4B4"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2.1</w:t>
      </w:r>
      <w:r w:rsidRPr="004C6B34">
        <w:rPr>
          <w:rFonts w:asciiTheme="minorHAnsi" w:eastAsiaTheme="minorEastAsia" w:hAnsiTheme="minorHAnsi" w:cstheme="minorBidi"/>
          <w:noProof/>
          <w:kern w:val="2"/>
          <w:sz w:val="24"/>
          <w:szCs w:val="24"/>
          <w14:ligatures w14:val="standardContextual"/>
        </w:rPr>
        <w:tab/>
      </w:r>
      <w:r>
        <w:rPr>
          <w:noProof/>
          <w:lang w:eastAsia="de-DE"/>
        </w:rPr>
        <w:t>Organisation</w:t>
      </w:r>
      <w:r>
        <w:rPr>
          <w:noProof/>
        </w:rPr>
        <w:tab/>
      </w:r>
      <w:r>
        <w:rPr>
          <w:noProof/>
        </w:rPr>
        <w:fldChar w:fldCharType="begin"/>
      </w:r>
      <w:r>
        <w:rPr>
          <w:noProof/>
        </w:rPr>
        <w:instrText xml:space="preserve"> PAGEREF _Toc188346295 \h </w:instrText>
      </w:r>
      <w:r>
        <w:rPr>
          <w:noProof/>
        </w:rPr>
      </w:r>
      <w:r>
        <w:rPr>
          <w:noProof/>
        </w:rPr>
        <w:fldChar w:fldCharType="separate"/>
      </w:r>
      <w:r>
        <w:rPr>
          <w:noProof/>
        </w:rPr>
        <w:t>4</w:t>
      </w:r>
      <w:r>
        <w:rPr>
          <w:noProof/>
        </w:rPr>
        <w:fldChar w:fldCharType="end"/>
      </w:r>
    </w:p>
    <w:p w14:paraId="40121EED" w14:textId="1230A579"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2.2</w:t>
      </w:r>
      <w:r w:rsidRPr="004C6B34">
        <w:rPr>
          <w:rFonts w:asciiTheme="minorHAnsi" w:eastAsiaTheme="minorEastAsia" w:hAnsiTheme="minorHAnsi" w:cstheme="minorBidi"/>
          <w:noProof/>
          <w:kern w:val="2"/>
          <w:sz w:val="24"/>
          <w:szCs w:val="24"/>
          <w14:ligatures w14:val="standardContextual"/>
        </w:rPr>
        <w:tab/>
      </w:r>
      <w:r>
        <w:rPr>
          <w:noProof/>
          <w:lang w:eastAsia="de-DE"/>
        </w:rPr>
        <w:t>Auskunft</w:t>
      </w:r>
      <w:r>
        <w:rPr>
          <w:noProof/>
        </w:rPr>
        <w:tab/>
      </w:r>
      <w:r>
        <w:rPr>
          <w:noProof/>
        </w:rPr>
        <w:fldChar w:fldCharType="begin"/>
      </w:r>
      <w:r>
        <w:rPr>
          <w:noProof/>
        </w:rPr>
        <w:instrText xml:space="preserve"> PAGEREF _Toc188346296 \h </w:instrText>
      </w:r>
      <w:r>
        <w:rPr>
          <w:noProof/>
        </w:rPr>
      </w:r>
      <w:r>
        <w:rPr>
          <w:noProof/>
        </w:rPr>
        <w:fldChar w:fldCharType="separate"/>
      </w:r>
      <w:r>
        <w:rPr>
          <w:noProof/>
        </w:rPr>
        <w:t>4</w:t>
      </w:r>
      <w:r>
        <w:rPr>
          <w:noProof/>
        </w:rPr>
        <w:fldChar w:fldCharType="end"/>
      </w:r>
    </w:p>
    <w:p w14:paraId="123939E6" w14:textId="64D36578"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2.3</w:t>
      </w:r>
      <w:r w:rsidRPr="004C6B34">
        <w:rPr>
          <w:rFonts w:asciiTheme="minorHAnsi" w:eastAsiaTheme="minorEastAsia" w:hAnsiTheme="minorHAnsi" w:cstheme="minorBidi"/>
          <w:noProof/>
          <w:kern w:val="2"/>
          <w:sz w:val="24"/>
          <w:szCs w:val="24"/>
          <w14:ligatures w14:val="standardContextual"/>
        </w:rPr>
        <w:tab/>
      </w:r>
      <w:r>
        <w:rPr>
          <w:noProof/>
          <w:lang w:eastAsia="de-DE"/>
        </w:rPr>
        <w:t>Veränderungsanzeige</w:t>
      </w:r>
      <w:r>
        <w:rPr>
          <w:noProof/>
        </w:rPr>
        <w:tab/>
      </w:r>
      <w:r>
        <w:rPr>
          <w:noProof/>
        </w:rPr>
        <w:fldChar w:fldCharType="begin"/>
      </w:r>
      <w:r>
        <w:rPr>
          <w:noProof/>
        </w:rPr>
        <w:instrText xml:space="preserve"> PAGEREF _Toc188346297 \h </w:instrText>
      </w:r>
      <w:r>
        <w:rPr>
          <w:noProof/>
        </w:rPr>
      </w:r>
      <w:r>
        <w:rPr>
          <w:noProof/>
        </w:rPr>
        <w:fldChar w:fldCharType="separate"/>
      </w:r>
      <w:r>
        <w:rPr>
          <w:noProof/>
        </w:rPr>
        <w:t>4</w:t>
      </w:r>
      <w:r>
        <w:rPr>
          <w:noProof/>
        </w:rPr>
        <w:fldChar w:fldCharType="end"/>
      </w:r>
    </w:p>
    <w:p w14:paraId="386EF131" w14:textId="0B74519E"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rPr>
        <w:t>2.4</w:t>
      </w:r>
      <w:r w:rsidRPr="004C6B34">
        <w:rPr>
          <w:rFonts w:asciiTheme="minorHAnsi" w:eastAsiaTheme="minorEastAsia" w:hAnsiTheme="minorHAnsi" w:cstheme="minorBidi"/>
          <w:noProof/>
          <w:kern w:val="2"/>
          <w:sz w:val="24"/>
          <w:szCs w:val="24"/>
          <w14:ligatures w14:val="standardContextual"/>
        </w:rPr>
        <w:tab/>
      </w:r>
      <w:r>
        <w:rPr>
          <w:noProof/>
        </w:rPr>
        <w:t>Begriffserklärungen</w:t>
      </w:r>
      <w:r>
        <w:rPr>
          <w:noProof/>
        </w:rPr>
        <w:tab/>
      </w:r>
      <w:r>
        <w:rPr>
          <w:noProof/>
        </w:rPr>
        <w:fldChar w:fldCharType="begin"/>
      </w:r>
      <w:r>
        <w:rPr>
          <w:noProof/>
        </w:rPr>
        <w:instrText xml:space="preserve"> PAGEREF _Toc188346298 \h </w:instrText>
      </w:r>
      <w:r>
        <w:rPr>
          <w:noProof/>
        </w:rPr>
      </w:r>
      <w:r>
        <w:rPr>
          <w:noProof/>
        </w:rPr>
        <w:fldChar w:fldCharType="separate"/>
      </w:r>
      <w:r>
        <w:rPr>
          <w:noProof/>
        </w:rPr>
        <w:t>4</w:t>
      </w:r>
      <w:r>
        <w:rPr>
          <w:noProof/>
        </w:rPr>
        <w:fldChar w:fldCharType="end"/>
      </w:r>
    </w:p>
    <w:p w14:paraId="1327A6F7" w14:textId="05403B9A" w:rsidR="004C6B34" w:rsidRPr="004C6B34" w:rsidRDefault="004C6B34">
      <w:pPr>
        <w:pStyle w:val="TOC1"/>
        <w:rPr>
          <w:rFonts w:asciiTheme="minorHAnsi" w:eastAsiaTheme="minorEastAsia" w:hAnsiTheme="minorHAnsi" w:cstheme="minorBidi"/>
          <w:b w:val="0"/>
          <w:noProof/>
          <w:kern w:val="2"/>
          <w:sz w:val="24"/>
          <w:szCs w:val="24"/>
          <w14:ligatures w14:val="standardContextual"/>
        </w:rPr>
      </w:pPr>
      <w:r>
        <w:rPr>
          <w:noProof/>
          <w:lang w:eastAsia="de-DE"/>
        </w:rPr>
        <w:t>3</w:t>
      </w:r>
      <w:r w:rsidRPr="004C6B34">
        <w:rPr>
          <w:rFonts w:asciiTheme="minorHAnsi" w:eastAsiaTheme="minorEastAsia" w:hAnsiTheme="minorHAnsi" w:cstheme="minorBidi"/>
          <w:b w:val="0"/>
          <w:noProof/>
          <w:kern w:val="2"/>
          <w:sz w:val="24"/>
          <w:szCs w:val="24"/>
          <w14:ligatures w14:val="standardContextual"/>
        </w:rPr>
        <w:tab/>
      </w:r>
      <w:r>
        <w:rPr>
          <w:noProof/>
          <w:lang w:eastAsia="de-DE"/>
        </w:rPr>
        <w:t>Transport</w:t>
      </w:r>
      <w:r>
        <w:rPr>
          <w:noProof/>
        </w:rPr>
        <w:tab/>
      </w:r>
      <w:r>
        <w:rPr>
          <w:noProof/>
        </w:rPr>
        <w:fldChar w:fldCharType="begin"/>
      </w:r>
      <w:r>
        <w:rPr>
          <w:noProof/>
        </w:rPr>
        <w:instrText xml:space="preserve"> PAGEREF _Toc188346299 \h </w:instrText>
      </w:r>
      <w:r>
        <w:rPr>
          <w:noProof/>
        </w:rPr>
      </w:r>
      <w:r>
        <w:rPr>
          <w:noProof/>
        </w:rPr>
        <w:fldChar w:fldCharType="separate"/>
      </w:r>
      <w:r>
        <w:rPr>
          <w:noProof/>
        </w:rPr>
        <w:t>7</w:t>
      </w:r>
      <w:r>
        <w:rPr>
          <w:noProof/>
        </w:rPr>
        <w:fldChar w:fldCharType="end"/>
      </w:r>
    </w:p>
    <w:p w14:paraId="733D141D" w14:textId="14E96FDA"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3.1</w:t>
      </w:r>
      <w:r w:rsidRPr="004C6B34">
        <w:rPr>
          <w:rFonts w:asciiTheme="minorHAnsi" w:eastAsiaTheme="minorEastAsia" w:hAnsiTheme="minorHAnsi" w:cstheme="minorBidi"/>
          <w:noProof/>
          <w:kern w:val="2"/>
          <w:sz w:val="24"/>
          <w:szCs w:val="24"/>
          <w14:ligatures w14:val="standardContextual"/>
        </w:rPr>
        <w:tab/>
      </w:r>
      <w:r>
        <w:rPr>
          <w:noProof/>
          <w:lang w:eastAsia="de-DE"/>
        </w:rPr>
        <w:t>Transportabwicklung</w:t>
      </w:r>
      <w:r>
        <w:rPr>
          <w:noProof/>
        </w:rPr>
        <w:tab/>
      </w:r>
      <w:r>
        <w:rPr>
          <w:noProof/>
        </w:rPr>
        <w:fldChar w:fldCharType="begin"/>
      </w:r>
      <w:r>
        <w:rPr>
          <w:noProof/>
        </w:rPr>
        <w:instrText xml:space="preserve"> PAGEREF _Toc188346300 \h </w:instrText>
      </w:r>
      <w:r>
        <w:rPr>
          <w:noProof/>
        </w:rPr>
      </w:r>
      <w:r>
        <w:rPr>
          <w:noProof/>
        </w:rPr>
        <w:fldChar w:fldCharType="separate"/>
      </w:r>
      <w:r>
        <w:rPr>
          <w:noProof/>
        </w:rPr>
        <w:t>7</w:t>
      </w:r>
      <w:r>
        <w:rPr>
          <w:noProof/>
        </w:rPr>
        <w:fldChar w:fldCharType="end"/>
      </w:r>
    </w:p>
    <w:p w14:paraId="09399A32" w14:textId="2EA940BD"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3.2</w:t>
      </w:r>
      <w:r w:rsidRPr="004C6B34">
        <w:rPr>
          <w:rFonts w:asciiTheme="minorHAnsi" w:eastAsiaTheme="minorEastAsia" w:hAnsiTheme="minorHAnsi" w:cstheme="minorBidi"/>
          <w:noProof/>
          <w:kern w:val="2"/>
          <w:sz w:val="24"/>
          <w:szCs w:val="24"/>
          <w14:ligatures w14:val="standardContextual"/>
        </w:rPr>
        <w:tab/>
      </w:r>
      <w:r>
        <w:rPr>
          <w:noProof/>
          <w:lang w:eastAsia="de-DE"/>
        </w:rPr>
        <w:t>Sonderfrachten</w:t>
      </w:r>
      <w:r>
        <w:rPr>
          <w:noProof/>
        </w:rPr>
        <w:tab/>
      </w:r>
      <w:r>
        <w:rPr>
          <w:noProof/>
        </w:rPr>
        <w:fldChar w:fldCharType="begin"/>
      </w:r>
      <w:r>
        <w:rPr>
          <w:noProof/>
        </w:rPr>
        <w:instrText xml:space="preserve"> PAGEREF _Toc188346301 \h </w:instrText>
      </w:r>
      <w:r>
        <w:rPr>
          <w:noProof/>
        </w:rPr>
      </w:r>
      <w:r>
        <w:rPr>
          <w:noProof/>
        </w:rPr>
        <w:fldChar w:fldCharType="separate"/>
      </w:r>
      <w:r>
        <w:rPr>
          <w:noProof/>
        </w:rPr>
        <w:t>8</w:t>
      </w:r>
      <w:r>
        <w:rPr>
          <w:noProof/>
        </w:rPr>
        <w:fldChar w:fldCharType="end"/>
      </w:r>
    </w:p>
    <w:p w14:paraId="01DD14CF" w14:textId="17E56F65"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3.3</w:t>
      </w:r>
      <w:r w:rsidRPr="004C6B34">
        <w:rPr>
          <w:rFonts w:asciiTheme="minorHAnsi" w:eastAsiaTheme="minorEastAsia" w:hAnsiTheme="minorHAnsi" w:cstheme="minorBidi"/>
          <w:noProof/>
          <w:kern w:val="2"/>
          <w:sz w:val="24"/>
          <w:szCs w:val="24"/>
          <w14:ligatures w14:val="standardContextual"/>
        </w:rPr>
        <w:tab/>
      </w:r>
      <w:r>
        <w:rPr>
          <w:noProof/>
          <w:lang w:eastAsia="de-DE"/>
        </w:rPr>
        <w:t>Begleitpapiere (Frachtdokumente)</w:t>
      </w:r>
      <w:r>
        <w:rPr>
          <w:noProof/>
        </w:rPr>
        <w:tab/>
      </w:r>
      <w:r>
        <w:rPr>
          <w:noProof/>
        </w:rPr>
        <w:fldChar w:fldCharType="begin"/>
      </w:r>
      <w:r>
        <w:rPr>
          <w:noProof/>
        </w:rPr>
        <w:instrText xml:space="preserve"> PAGEREF _Toc188346302 \h </w:instrText>
      </w:r>
      <w:r>
        <w:rPr>
          <w:noProof/>
        </w:rPr>
      </w:r>
      <w:r>
        <w:rPr>
          <w:noProof/>
        </w:rPr>
        <w:fldChar w:fldCharType="separate"/>
      </w:r>
      <w:r>
        <w:rPr>
          <w:noProof/>
        </w:rPr>
        <w:t>8</w:t>
      </w:r>
      <w:r>
        <w:rPr>
          <w:noProof/>
        </w:rPr>
        <w:fldChar w:fldCharType="end"/>
      </w:r>
    </w:p>
    <w:p w14:paraId="1973F5DC" w14:textId="52654F75"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3.4</w:t>
      </w:r>
      <w:r w:rsidRPr="004C6B34">
        <w:rPr>
          <w:rFonts w:asciiTheme="minorHAnsi" w:eastAsiaTheme="minorEastAsia" w:hAnsiTheme="minorHAnsi" w:cstheme="minorBidi"/>
          <w:noProof/>
          <w:kern w:val="2"/>
          <w:sz w:val="24"/>
          <w:szCs w:val="24"/>
          <w14:ligatures w14:val="standardContextual"/>
        </w:rPr>
        <w:tab/>
      </w:r>
      <w:r>
        <w:rPr>
          <w:noProof/>
          <w:lang w:eastAsia="de-DE"/>
        </w:rPr>
        <w:t>Temperatur- u. Gefahrguttransporte</w:t>
      </w:r>
      <w:r>
        <w:rPr>
          <w:noProof/>
        </w:rPr>
        <w:tab/>
      </w:r>
      <w:r>
        <w:rPr>
          <w:noProof/>
        </w:rPr>
        <w:fldChar w:fldCharType="begin"/>
      </w:r>
      <w:r>
        <w:rPr>
          <w:noProof/>
        </w:rPr>
        <w:instrText xml:space="preserve"> PAGEREF _Toc188346303 \h </w:instrText>
      </w:r>
      <w:r>
        <w:rPr>
          <w:noProof/>
        </w:rPr>
      </w:r>
      <w:r>
        <w:rPr>
          <w:noProof/>
        </w:rPr>
        <w:fldChar w:fldCharType="separate"/>
      </w:r>
      <w:r>
        <w:rPr>
          <w:noProof/>
        </w:rPr>
        <w:t>8</w:t>
      </w:r>
      <w:r>
        <w:rPr>
          <w:noProof/>
        </w:rPr>
        <w:fldChar w:fldCharType="end"/>
      </w:r>
    </w:p>
    <w:p w14:paraId="10ABB64B" w14:textId="42EA0DFB" w:rsidR="004C6B34" w:rsidRPr="004C6B34" w:rsidRDefault="004C6B34">
      <w:pPr>
        <w:pStyle w:val="TOC1"/>
        <w:rPr>
          <w:rFonts w:asciiTheme="minorHAnsi" w:eastAsiaTheme="minorEastAsia" w:hAnsiTheme="minorHAnsi" w:cstheme="minorBidi"/>
          <w:b w:val="0"/>
          <w:noProof/>
          <w:kern w:val="2"/>
          <w:sz w:val="24"/>
          <w:szCs w:val="24"/>
          <w14:ligatures w14:val="standardContextual"/>
        </w:rPr>
      </w:pPr>
      <w:r>
        <w:rPr>
          <w:noProof/>
        </w:rPr>
        <w:t>4</w:t>
      </w:r>
      <w:r w:rsidRPr="004C6B34">
        <w:rPr>
          <w:rFonts w:asciiTheme="minorHAnsi" w:eastAsiaTheme="minorEastAsia" w:hAnsiTheme="minorHAnsi" w:cstheme="minorBidi"/>
          <w:b w:val="0"/>
          <w:noProof/>
          <w:kern w:val="2"/>
          <w:sz w:val="24"/>
          <w:szCs w:val="24"/>
          <w14:ligatures w14:val="standardContextual"/>
        </w:rPr>
        <w:tab/>
      </w:r>
      <w:r>
        <w:rPr>
          <w:noProof/>
        </w:rPr>
        <w:t>Zollabwicklung</w:t>
      </w:r>
      <w:r>
        <w:rPr>
          <w:noProof/>
        </w:rPr>
        <w:tab/>
      </w:r>
      <w:r>
        <w:rPr>
          <w:noProof/>
        </w:rPr>
        <w:fldChar w:fldCharType="begin"/>
      </w:r>
      <w:r>
        <w:rPr>
          <w:noProof/>
        </w:rPr>
        <w:instrText xml:space="preserve"> PAGEREF _Toc188346304 \h </w:instrText>
      </w:r>
      <w:r>
        <w:rPr>
          <w:noProof/>
        </w:rPr>
      </w:r>
      <w:r>
        <w:rPr>
          <w:noProof/>
        </w:rPr>
        <w:fldChar w:fldCharType="separate"/>
      </w:r>
      <w:r>
        <w:rPr>
          <w:noProof/>
        </w:rPr>
        <w:t>9</w:t>
      </w:r>
      <w:r>
        <w:rPr>
          <w:noProof/>
        </w:rPr>
        <w:fldChar w:fldCharType="end"/>
      </w:r>
    </w:p>
    <w:p w14:paraId="267D1CA9" w14:textId="38113D9C"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4.1</w:t>
      </w:r>
      <w:r w:rsidRPr="004C6B34">
        <w:rPr>
          <w:rFonts w:asciiTheme="minorHAnsi" w:eastAsiaTheme="minorEastAsia" w:hAnsiTheme="minorHAnsi" w:cstheme="minorBidi"/>
          <w:noProof/>
          <w:kern w:val="2"/>
          <w:sz w:val="24"/>
          <w:szCs w:val="24"/>
          <w14:ligatures w14:val="standardContextual"/>
        </w:rPr>
        <w:tab/>
      </w:r>
      <w:r>
        <w:rPr>
          <w:noProof/>
          <w:lang w:eastAsia="de-DE"/>
        </w:rPr>
        <w:t>Europa</w:t>
      </w:r>
      <w:r>
        <w:rPr>
          <w:noProof/>
        </w:rPr>
        <w:tab/>
      </w:r>
      <w:r>
        <w:rPr>
          <w:noProof/>
        </w:rPr>
        <w:fldChar w:fldCharType="begin"/>
      </w:r>
      <w:r>
        <w:rPr>
          <w:noProof/>
        </w:rPr>
        <w:instrText xml:space="preserve"> PAGEREF _Toc188346305 \h </w:instrText>
      </w:r>
      <w:r>
        <w:rPr>
          <w:noProof/>
        </w:rPr>
      </w:r>
      <w:r>
        <w:rPr>
          <w:noProof/>
        </w:rPr>
        <w:fldChar w:fldCharType="separate"/>
      </w:r>
      <w:r>
        <w:rPr>
          <w:noProof/>
        </w:rPr>
        <w:t>9</w:t>
      </w:r>
      <w:r>
        <w:rPr>
          <w:noProof/>
        </w:rPr>
        <w:fldChar w:fldCharType="end"/>
      </w:r>
    </w:p>
    <w:p w14:paraId="28C148D3" w14:textId="1A3008B8"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4.2</w:t>
      </w:r>
      <w:r w:rsidRPr="004C6B34">
        <w:rPr>
          <w:rFonts w:asciiTheme="minorHAnsi" w:eastAsiaTheme="minorEastAsia" w:hAnsiTheme="minorHAnsi" w:cstheme="minorBidi"/>
          <w:noProof/>
          <w:kern w:val="2"/>
          <w:sz w:val="24"/>
          <w:szCs w:val="24"/>
          <w14:ligatures w14:val="standardContextual"/>
        </w:rPr>
        <w:tab/>
      </w:r>
      <w:r>
        <w:rPr>
          <w:noProof/>
          <w:lang w:eastAsia="de-DE"/>
        </w:rPr>
        <w:t>Standorte von GRAMMER außerhalb Europas</w:t>
      </w:r>
      <w:r>
        <w:rPr>
          <w:noProof/>
        </w:rPr>
        <w:tab/>
      </w:r>
      <w:r>
        <w:rPr>
          <w:noProof/>
        </w:rPr>
        <w:fldChar w:fldCharType="begin"/>
      </w:r>
      <w:r>
        <w:rPr>
          <w:noProof/>
        </w:rPr>
        <w:instrText xml:space="preserve"> PAGEREF _Toc188346306 \h </w:instrText>
      </w:r>
      <w:r>
        <w:rPr>
          <w:noProof/>
        </w:rPr>
      </w:r>
      <w:r>
        <w:rPr>
          <w:noProof/>
        </w:rPr>
        <w:fldChar w:fldCharType="separate"/>
      </w:r>
      <w:r>
        <w:rPr>
          <w:noProof/>
        </w:rPr>
        <w:t>10</w:t>
      </w:r>
      <w:r>
        <w:rPr>
          <w:noProof/>
        </w:rPr>
        <w:fldChar w:fldCharType="end"/>
      </w:r>
    </w:p>
    <w:p w14:paraId="1A13A0CB" w14:textId="4D53A738"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4.3</w:t>
      </w:r>
      <w:r w:rsidRPr="004C6B34">
        <w:rPr>
          <w:rFonts w:asciiTheme="minorHAnsi" w:eastAsiaTheme="minorEastAsia" w:hAnsiTheme="minorHAnsi" w:cstheme="minorBidi"/>
          <w:noProof/>
          <w:kern w:val="2"/>
          <w:sz w:val="24"/>
          <w:szCs w:val="24"/>
          <w14:ligatures w14:val="standardContextual"/>
        </w:rPr>
        <w:tab/>
      </w:r>
      <w:r>
        <w:rPr>
          <w:noProof/>
          <w:lang w:eastAsia="de-DE"/>
        </w:rPr>
        <w:t>Reklamationsabwicklung</w:t>
      </w:r>
      <w:r>
        <w:rPr>
          <w:noProof/>
        </w:rPr>
        <w:tab/>
      </w:r>
      <w:r>
        <w:rPr>
          <w:noProof/>
        </w:rPr>
        <w:fldChar w:fldCharType="begin"/>
      </w:r>
      <w:r>
        <w:rPr>
          <w:noProof/>
        </w:rPr>
        <w:instrText xml:space="preserve"> PAGEREF _Toc188346307 \h </w:instrText>
      </w:r>
      <w:r>
        <w:rPr>
          <w:noProof/>
        </w:rPr>
      </w:r>
      <w:r>
        <w:rPr>
          <w:noProof/>
        </w:rPr>
        <w:fldChar w:fldCharType="separate"/>
      </w:r>
      <w:r>
        <w:rPr>
          <w:noProof/>
        </w:rPr>
        <w:t>11</w:t>
      </w:r>
      <w:r>
        <w:rPr>
          <w:noProof/>
        </w:rPr>
        <w:fldChar w:fldCharType="end"/>
      </w:r>
    </w:p>
    <w:p w14:paraId="7E0C52ED" w14:textId="29CD764A" w:rsidR="004C6B34" w:rsidRPr="004C6B34" w:rsidRDefault="004C6B34">
      <w:pPr>
        <w:pStyle w:val="TOC1"/>
        <w:rPr>
          <w:rFonts w:asciiTheme="minorHAnsi" w:eastAsiaTheme="minorEastAsia" w:hAnsiTheme="minorHAnsi" w:cstheme="minorBidi"/>
          <w:b w:val="0"/>
          <w:noProof/>
          <w:kern w:val="2"/>
          <w:sz w:val="24"/>
          <w:szCs w:val="24"/>
          <w14:ligatures w14:val="standardContextual"/>
        </w:rPr>
      </w:pPr>
      <w:r>
        <w:rPr>
          <w:noProof/>
          <w:lang w:eastAsia="de-DE"/>
        </w:rPr>
        <w:t>5</w:t>
      </w:r>
      <w:r w:rsidRPr="004C6B34">
        <w:rPr>
          <w:rFonts w:asciiTheme="minorHAnsi" w:eastAsiaTheme="minorEastAsia" w:hAnsiTheme="minorHAnsi" w:cstheme="minorBidi"/>
          <w:b w:val="0"/>
          <w:noProof/>
          <w:kern w:val="2"/>
          <w:sz w:val="24"/>
          <w:szCs w:val="24"/>
          <w14:ligatures w14:val="standardContextual"/>
        </w:rPr>
        <w:tab/>
      </w:r>
      <w:r>
        <w:rPr>
          <w:noProof/>
          <w:lang w:eastAsia="de-DE"/>
        </w:rPr>
        <w:t>Verpackung</w:t>
      </w:r>
      <w:r>
        <w:rPr>
          <w:noProof/>
        </w:rPr>
        <w:tab/>
      </w:r>
      <w:r>
        <w:rPr>
          <w:noProof/>
        </w:rPr>
        <w:fldChar w:fldCharType="begin"/>
      </w:r>
      <w:r>
        <w:rPr>
          <w:noProof/>
        </w:rPr>
        <w:instrText xml:space="preserve"> PAGEREF _Toc188346308 \h </w:instrText>
      </w:r>
      <w:r>
        <w:rPr>
          <w:noProof/>
        </w:rPr>
      </w:r>
      <w:r>
        <w:rPr>
          <w:noProof/>
        </w:rPr>
        <w:fldChar w:fldCharType="separate"/>
      </w:r>
      <w:r>
        <w:rPr>
          <w:noProof/>
        </w:rPr>
        <w:t>12</w:t>
      </w:r>
      <w:r>
        <w:rPr>
          <w:noProof/>
        </w:rPr>
        <w:fldChar w:fldCharType="end"/>
      </w:r>
    </w:p>
    <w:p w14:paraId="39D63D5E" w14:textId="77899E91"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5.1</w:t>
      </w:r>
      <w:r w:rsidRPr="004C6B34">
        <w:rPr>
          <w:rFonts w:asciiTheme="minorHAnsi" w:eastAsiaTheme="minorEastAsia" w:hAnsiTheme="minorHAnsi" w:cstheme="minorBidi"/>
          <w:noProof/>
          <w:kern w:val="2"/>
          <w:sz w:val="24"/>
          <w:szCs w:val="24"/>
          <w14:ligatures w14:val="standardContextual"/>
        </w:rPr>
        <w:tab/>
      </w:r>
      <w:r>
        <w:rPr>
          <w:noProof/>
          <w:lang w:eastAsia="de-DE"/>
        </w:rPr>
        <w:t>Grundsätze</w:t>
      </w:r>
      <w:r>
        <w:rPr>
          <w:noProof/>
        </w:rPr>
        <w:tab/>
      </w:r>
      <w:r>
        <w:rPr>
          <w:noProof/>
        </w:rPr>
        <w:fldChar w:fldCharType="begin"/>
      </w:r>
      <w:r>
        <w:rPr>
          <w:noProof/>
        </w:rPr>
        <w:instrText xml:space="preserve"> PAGEREF _Toc188346309 \h </w:instrText>
      </w:r>
      <w:r>
        <w:rPr>
          <w:noProof/>
        </w:rPr>
      </w:r>
      <w:r>
        <w:rPr>
          <w:noProof/>
        </w:rPr>
        <w:fldChar w:fldCharType="separate"/>
      </w:r>
      <w:r>
        <w:rPr>
          <w:noProof/>
        </w:rPr>
        <w:t>12</w:t>
      </w:r>
      <w:r>
        <w:rPr>
          <w:noProof/>
        </w:rPr>
        <w:fldChar w:fldCharType="end"/>
      </w:r>
    </w:p>
    <w:p w14:paraId="6AFD0EF2" w14:textId="74BB78B3"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5.2</w:t>
      </w:r>
      <w:r w:rsidRPr="004C6B34">
        <w:rPr>
          <w:rFonts w:asciiTheme="minorHAnsi" w:eastAsiaTheme="minorEastAsia" w:hAnsiTheme="minorHAnsi" w:cstheme="minorBidi"/>
          <w:noProof/>
          <w:kern w:val="2"/>
          <w:sz w:val="24"/>
          <w:szCs w:val="24"/>
          <w14:ligatures w14:val="standardContextual"/>
        </w:rPr>
        <w:tab/>
      </w:r>
      <w:r>
        <w:rPr>
          <w:noProof/>
          <w:lang w:eastAsia="de-DE"/>
        </w:rPr>
        <w:t>Behälter/Verpackungen Europa</w:t>
      </w:r>
      <w:r>
        <w:rPr>
          <w:noProof/>
        </w:rPr>
        <w:tab/>
      </w:r>
      <w:r>
        <w:rPr>
          <w:noProof/>
        </w:rPr>
        <w:fldChar w:fldCharType="begin"/>
      </w:r>
      <w:r>
        <w:rPr>
          <w:noProof/>
        </w:rPr>
        <w:instrText xml:space="preserve"> PAGEREF _Toc188346310 \h </w:instrText>
      </w:r>
      <w:r>
        <w:rPr>
          <w:noProof/>
        </w:rPr>
      </w:r>
      <w:r>
        <w:rPr>
          <w:noProof/>
        </w:rPr>
        <w:fldChar w:fldCharType="separate"/>
      </w:r>
      <w:r>
        <w:rPr>
          <w:noProof/>
        </w:rPr>
        <w:t>15</w:t>
      </w:r>
      <w:r>
        <w:rPr>
          <w:noProof/>
        </w:rPr>
        <w:fldChar w:fldCharType="end"/>
      </w:r>
    </w:p>
    <w:p w14:paraId="093344EA" w14:textId="510A00D9"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5.3</w:t>
      </w:r>
      <w:r w:rsidRPr="004C6B34">
        <w:rPr>
          <w:rFonts w:asciiTheme="minorHAnsi" w:eastAsiaTheme="minorEastAsia" w:hAnsiTheme="minorHAnsi" w:cstheme="minorBidi"/>
          <w:noProof/>
          <w:kern w:val="2"/>
          <w:sz w:val="24"/>
          <w:szCs w:val="24"/>
          <w14:ligatures w14:val="standardContextual"/>
        </w:rPr>
        <w:tab/>
      </w:r>
      <w:r>
        <w:rPr>
          <w:noProof/>
          <w:lang w:eastAsia="de-DE"/>
        </w:rPr>
        <w:t>Behälter/Verpackungen Übersee</w:t>
      </w:r>
      <w:r>
        <w:rPr>
          <w:noProof/>
        </w:rPr>
        <w:tab/>
      </w:r>
      <w:r>
        <w:rPr>
          <w:noProof/>
        </w:rPr>
        <w:fldChar w:fldCharType="begin"/>
      </w:r>
      <w:r>
        <w:rPr>
          <w:noProof/>
        </w:rPr>
        <w:instrText xml:space="preserve"> PAGEREF _Toc188346311 \h </w:instrText>
      </w:r>
      <w:r>
        <w:rPr>
          <w:noProof/>
        </w:rPr>
      </w:r>
      <w:r>
        <w:rPr>
          <w:noProof/>
        </w:rPr>
        <w:fldChar w:fldCharType="separate"/>
      </w:r>
      <w:r>
        <w:rPr>
          <w:noProof/>
        </w:rPr>
        <w:t>17</w:t>
      </w:r>
      <w:r>
        <w:rPr>
          <w:noProof/>
        </w:rPr>
        <w:fldChar w:fldCharType="end"/>
      </w:r>
    </w:p>
    <w:p w14:paraId="0EE7872C" w14:textId="74AFEBCE"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5.4</w:t>
      </w:r>
      <w:r w:rsidRPr="004C6B34">
        <w:rPr>
          <w:rFonts w:asciiTheme="minorHAnsi" w:eastAsiaTheme="minorEastAsia" w:hAnsiTheme="minorHAnsi" w:cstheme="minorBidi"/>
          <w:noProof/>
          <w:kern w:val="2"/>
          <w:sz w:val="24"/>
          <w:szCs w:val="24"/>
          <w14:ligatures w14:val="standardContextual"/>
        </w:rPr>
        <w:tab/>
      </w:r>
      <w:r>
        <w:rPr>
          <w:noProof/>
          <w:lang w:eastAsia="de-DE"/>
        </w:rPr>
        <w:t>Verpackungsentwicklung/-festlegung</w:t>
      </w:r>
      <w:r>
        <w:rPr>
          <w:noProof/>
        </w:rPr>
        <w:tab/>
      </w:r>
      <w:r>
        <w:rPr>
          <w:noProof/>
        </w:rPr>
        <w:fldChar w:fldCharType="begin"/>
      </w:r>
      <w:r>
        <w:rPr>
          <w:noProof/>
        </w:rPr>
        <w:instrText xml:space="preserve"> PAGEREF _Toc188346312 \h </w:instrText>
      </w:r>
      <w:r>
        <w:rPr>
          <w:noProof/>
        </w:rPr>
      </w:r>
      <w:r>
        <w:rPr>
          <w:noProof/>
        </w:rPr>
        <w:fldChar w:fldCharType="separate"/>
      </w:r>
      <w:r>
        <w:rPr>
          <w:noProof/>
        </w:rPr>
        <w:t>20</w:t>
      </w:r>
      <w:r>
        <w:rPr>
          <w:noProof/>
        </w:rPr>
        <w:fldChar w:fldCharType="end"/>
      </w:r>
    </w:p>
    <w:p w14:paraId="6339655E" w14:textId="2366750D"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5.5</w:t>
      </w:r>
      <w:r w:rsidRPr="004C6B34">
        <w:rPr>
          <w:rFonts w:asciiTheme="minorHAnsi" w:eastAsiaTheme="minorEastAsia" w:hAnsiTheme="minorHAnsi" w:cstheme="minorBidi"/>
          <w:noProof/>
          <w:kern w:val="2"/>
          <w:sz w:val="24"/>
          <w:szCs w:val="24"/>
          <w14:ligatures w14:val="standardContextual"/>
        </w:rPr>
        <w:tab/>
      </w:r>
      <w:r>
        <w:rPr>
          <w:noProof/>
          <w:lang w:eastAsia="de-DE"/>
        </w:rPr>
        <w:t>Behälterbeschaffung</w:t>
      </w:r>
      <w:r>
        <w:rPr>
          <w:noProof/>
        </w:rPr>
        <w:tab/>
      </w:r>
      <w:r>
        <w:rPr>
          <w:noProof/>
        </w:rPr>
        <w:fldChar w:fldCharType="begin"/>
      </w:r>
      <w:r>
        <w:rPr>
          <w:noProof/>
        </w:rPr>
        <w:instrText xml:space="preserve"> PAGEREF _Toc188346313 \h </w:instrText>
      </w:r>
      <w:r>
        <w:rPr>
          <w:noProof/>
        </w:rPr>
      </w:r>
      <w:r>
        <w:rPr>
          <w:noProof/>
        </w:rPr>
        <w:fldChar w:fldCharType="separate"/>
      </w:r>
      <w:r>
        <w:rPr>
          <w:noProof/>
        </w:rPr>
        <w:t>20</w:t>
      </w:r>
      <w:r>
        <w:rPr>
          <w:noProof/>
        </w:rPr>
        <w:fldChar w:fldCharType="end"/>
      </w:r>
    </w:p>
    <w:p w14:paraId="2BF2C4CE" w14:textId="3E5A7F85"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5.6</w:t>
      </w:r>
      <w:r w:rsidRPr="004C6B34">
        <w:rPr>
          <w:rFonts w:asciiTheme="minorHAnsi" w:eastAsiaTheme="minorEastAsia" w:hAnsiTheme="minorHAnsi" w:cstheme="minorBidi"/>
          <w:noProof/>
          <w:kern w:val="2"/>
          <w:sz w:val="24"/>
          <w:szCs w:val="24"/>
          <w14:ligatures w14:val="standardContextual"/>
        </w:rPr>
        <w:tab/>
      </w:r>
      <w:r>
        <w:rPr>
          <w:noProof/>
          <w:lang w:eastAsia="de-DE"/>
        </w:rPr>
        <w:t>Verpackungsüberhänge</w:t>
      </w:r>
      <w:r>
        <w:rPr>
          <w:noProof/>
        </w:rPr>
        <w:tab/>
      </w:r>
      <w:r>
        <w:rPr>
          <w:noProof/>
        </w:rPr>
        <w:fldChar w:fldCharType="begin"/>
      </w:r>
      <w:r>
        <w:rPr>
          <w:noProof/>
        </w:rPr>
        <w:instrText xml:space="preserve"> PAGEREF _Toc188346314 \h </w:instrText>
      </w:r>
      <w:r>
        <w:rPr>
          <w:noProof/>
        </w:rPr>
      </w:r>
      <w:r>
        <w:rPr>
          <w:noProof/>
        </w:rPr>
        <w:fldChar w:fldCharType="separate"/>
      </w:r>
      <w:r>
        <w:rPr>
          <w:noProof/>
        </w:rPr>
        <w:t>20</w:t>
      </w:r>
      <w:r>
        <w:rPr>
          <w:noProof/>
        </w:rPr>
        <w:fldChar w:fldCharType="end"/>
      </w:r>
    </w:p>
    <w:p w14:paraId="1B74DDC4" w14:textId="1830A133"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5.7</w:t>
      </w:r>
      <w:r w:rsidRPr="004C6B34">
        <w:rPr>
          <w:rFonts w:asciiTheme="minorHAnsi" w:eastAsiaTheme="minorEastAsia" w:hAnsiTheme="minorHAnsi" w:cstheme="minorBidi"/>
          <w:noProof/>
          <w:kern w:val="2"/>
          <w:sz w:val="24"/>
          <w:szCs w:val="24"/>
          <w14:ligatures w14:val="standardContextual"/>
        </w:rPr>
        <w:tab/>
      </w:r>
      <w:r>
        <w:rPr>
          <w:noProof/>
          <w:lang w:eastAsia="de-DE"/>
        </w:rPr>
        <w:t>Verschrottung und Information zur Inventur</w:t>
      </w:r>
      <w:r>
        <w:rPr>
          <w:noProof/>
        </w:rPr>
        <w:tab/>
      </w:r>
      <w:r>
        <w:rPr>
          <w:noProof/>
        </w:rPr>
        <w:fldChar w:fldCharType="begin"/>
      </w:r>
      <w:r>
        <w:rPr>
          <w:noProof/>
        </w:rPr>
        <w:instrText xml:space="preserve"> PAGEREF _Toc188346315 \h </w:instrText>
      </w:r>
      <w:r>
        <w:rPr>
          <w:noProof/>
        </w:rPr>
      </w:r>
      <w:r>
        <w:rPr>
          <w:noProof/>
        </w:rPr>
        <w:fldChar w:fldCharType="separate"/>
      </w:r>
      <w:r>
        <w:rPr>
          <w:noProof/>
        </w:rPr>
        <w:t>20</w:t>
      </w:r>
      <w:r>
        <w:rPr>
          <w:noProof/>
        </w:rPr>
        <w:fldChar w:fldCharType="end"/>
      </w:r>
    </w:p>
    <w:p w14:paraId="6D6C7441" w14:textId="065E8C3D"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5.8</w:t>
      </w:r>
      <w:r w:rsidRPr="004C6B34">
        <w:rPr>
          <w:rFonts w:asciiTheme="minorHAnsi" w:eastAsiaTheme="minorEastAsia" w:hAnsiTheme="minorHAnsi" w:cstheme="minorBidi"/>
          <w:noProof/>
          <w:kern w:val="2"/>
          <w:sz w:val="24"/>
          <w:szCs w:val="24"/>
          <w14:ligatures w14:val="standardContextual"/>
        </w:rPr>
        <w:tab/>
      </w:r>
      <w:r>
        <w:rPr>
          <w:noProof/>
          <w:lang w:eastAsia="de-DE"/>
        </w:rPr>
        <w:t>Verpackungsdatenblatt (VDB)</w:t>
      </w:r>
      <w:r>
        <w:rPr>
          <w:noProof/>
        </w:rPr>
        <w:tab/>
      </w:r>
      <w:r>
        <w:rPr>
          <w:noProof/>
        </w:rPr>
        <w:fldChar w:fldCharType="begin"/>
      </w:r>
      <w:r>
        <w:rPr>
          <w:noProof/>
        </w:rPr>
        <w:instrText xml:space="preserve"> PAGEREF _Toc188346316 \h </w:instrText>
      </w:r>
      <w:r>
        <w:rPr>
          <w:noProof/>
        </w:rPr>
      </w:r>
      <w:r>
        <w:rPr>
          <w:noProof/>
        </w:rPr>
        <w:fldChar w:fldCharType="separate"/>
      </w:r>
      <w:r>
        <w:rPr>
          <w:noProof/>
        </w:rPr>
        <w:t>22</w:t>
      </w:r>
      <w:r>
        <w:rPr>
          <w:noProof/>
        </w:rPr>
        <w:fldChar w:fldCharType="end"/>
      </w:r>
    </w:p>
    <w:p w14:paraId="74B4C976" w14:textId="05C2FA83"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5.9</w:t>
      </w:r>
      <w:r w:rsidRPr="004C6B34">
        <w:rPr>
          <w:rFonts w:asciiTheme="minorHAnsi" w:eastAsiaTheme="minorEastAsia" w:hAnsiTheme="minorHAnsi" w:cstheme="minorBidi"/>
          <w:noProof/>
          <w:kern w:val="2"/>
          <w:sz w:val="24"/>
          <w:szCs w:val="24"/>
          <w14:ligatures w14:val="standardContextual"/>
        </w:rPr>
        <w:tab/>
      </w:r>
      <w:r>
        <w:rPr>
          <w:noProof/>
          <w:lang w:eastAsia="de-DE"/>
        </w:rPr>
        <w:t>Warenkennzeichnung</w:t>
      </w:r>
      <w:r>
        <w:rPr>
          <w:noProof/>
        </w:rPr>
        <w:tab/>
      </w:r>
      <w:r>
        <w:rPr>
          <w:noProof/>
        </w:rPr>
        <w:fldChar w:fldCharType="begin"/>
      </w:r>
      <w:r>
        <w:rPr>
          <w:noProof/>
        </w:rPr>
        <w:instrText xml:space="preserve"> PAGEREF _Toc188346317 \h </w:instrText>
      </w:r>
      <w:r>
        <w:rPr>
          <w:noProof/>
        </w:rPr>
      </w:r>
      <w:r>
        <w:rPr>
          <w:noProof/>
        </w:rPr>
        <w:fldChar w:fldCharType="separate"/>
      </w:r>
      <w:r>
        <w:rPr>
          <w:noProof/>
        </w:rPr>
        <w:t>23</w:t>
      </w:r>
      <w:r>
        <w:rPr>
          <w:noProof/>
        </w:rPr>
        <w:fldChar w:fldCharType="end"/>
      </w:r>
    </w:p>
    <w:p w14:paraId="56A1AAC7" w14:textId="3E061559"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5.10</w:t>
      </w:r>
      <w:r w:rsidRPr="004C6B34">
        <w:rPr>
          <w:rFonts w:asciiTheme="minorHAnsi" w:eastAsiaTheme="minorEastAsia" w:hAnsiTheme="minorHAnsi" w:cstheme="minorBidi"/>
          <w:noProof/>
          <w:kern w:val="2"/>
          <w:sz w:val="24"/>
          <w:szCs w:val="24"/>
          <w14:ligatures w14:val="standardContextual"/>
        </w:rPr>
        <w:tab/>
      </w:r>
      <w:r>
        <w:rPr>
          <w:noProof/>
          <w:lang w:eastAsia="de-DE"/>
        </w:rPr>
        <w:t>Verpackung für Gefahrgut</w:t>
      </w:r>
      <w:r>
        <w:rPr>
          <w:noProof/>
        </w:rPr>
        <w:tab/>
      </w:r>
      <w:r>
        <w:rPr>
          <w:noProof/>
        </w:rPr>
        <w:fldChar w:fldCharType="begin"/>
      </w:r>
      <w:r>
        <w:rPr>
          <w:noProof/>
        </w:rPr>
        <w:instrText xml:space="preserve"> PAGEREF _Toc188346318 \h </w:instrText>
      </w:r>
      <w:r>
        <w:rPr>
          <w:noProof/>
        </w:rPr>
      </w:r>
      <w:r>
        <w:rPr>
          <w:noProof/>
        </w:rPr>
        <w:fldChar w:fldCharType="separate"/>
      </w:r>
      <w:r>
        <w:rPr>
          <w:noProof/>
        </w:rPr>
        <w:t>24</w:t>
      </w:r>
      <w:r>
        <w:rPr>
          <w:noProof/>
        </w:rPr>
        <w:fldChar w:fldCharType="end"/>
      </w:r>
    </w:p>
    <w:p w14:paraId="13217853" w14:textId="7BADB2FE"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5.11</w:t>
      </w:r>
      <w:r w:rsidRPr="004C6B34">
        <w:rPr>
          <w:rFonts w:asciiTheme="minorHAnsi" w:eastAsiaTheme="minorEastAsia" w:hAnsiTheme="minorHAnsi" w:cstheme="minorBidi"/>
          <w:noProof/>
          <w:kern w:val="2"/>
          <w:sz w:val="24"/>
          <w:szCs w:val="24"/>
          <w14:ligatures w14:val="standardContextual"/>
        </w:rPr>
        <w:tab/>
      </w:r>
      <w:r>
        <w:rPr>
          <w:noProof/>
          <w:lang w:eastAsia="de-DE"/>
        </w:rPr>
        <w:t>Kennzeichnung von Gefahrstoffen</w:t>
      </w:r>
      <w:r>
        <w:rPr>
          <w:noProof/>
        </w:rPr>
        <w:tab/>
      </w:r>
      <w:r>
        <w:rPr>
          <w:noProof/>
        </w:rPr>
        <w:fldChar w:fldCharType="begin"/>
      </w:r>
      <w:r>
        <w:rPr>
          <w:noProof/>
        </w:rPr>
        <w:instrText xml:space="preserve"> PAGEREF _Toc188346319 \h </w:instrText>
      </w:r>
      <w:r>
        <w:rPr>
          <w:noProof/>
        </w:rPr>
      </w:r>
      <w:r>
        <w:rPr>
          <w:noProof/>
        </w:rPr>
        <w:fldChar w:fldCharType="separate"/>
      </w:r>
      <w:r>
        <w:rPr>
          <w:noProof/>
        </w:rPr>
        <w:t>24</w:t>
      </w:r>
      <w:r>
        <w:rPr>
          <w:noProof/>
        </w:rPr>
        <w:fldChar w:fldCharType="end"/>
      </w:r>
    </w:p>
    <w:p w14:paraId="0611CE70" w14:textId="7C9DBC5E" w:rsidR="004C6B34" w:rsidRPr="004C6B34" w:rsidRDefault="004C6B34">
      <w:pPr>
        <w:pStyle w:val="TOC1"/>
        <w:rPr>
          <w:rFonts w:asciiTheme="minorHAnsi" w:eastAsiaTheme="minorEastAsia" w:hAnsiTheme="minorHAnsi" w:cstheme="minorBidi"/>
          <w:b w:val="0"/>
          <w:noProof/>
          <w:kern w:val="2"/>
          <w:sz w:val="24"/>
          <w:szCs w:val="24"/>
          <w14:ligatures w14:val="standardContextual"/>
        </w:rPr>
      </w:pPr>
      <w:r>
        <w:rPr>
          <w:noProof/>
          <w:lang w:eastAsia="de-DE"/>
        </w:rPr>
        <w:t>6</w:t>
      </w:r>
      <w:r w:rsidRPr="004C6B34">
        <w:rPr>
          <w:rFonts w:asciiTheme="minorHAnsi" w:eastAsiaTheme="minorEastAsia" w:hAnsiTheme="minorHAnsi" w:cstheme="minorBidi"/>
          <w:b w:val="0"/>
          <w:noProof/>
          <w:kern w:val="2"/>
          <w:sz w:val="24"/>
          <w:szCs w:val="24"/>
          <w14:ligatures w14:val="standardContextual"/>
        </w:rPr>
        <w:tab/>
      </w:r>
      <w:r>
        <w:rPr>
          <w:noProof/>
          <w:lang w:eastAsia="de-DE"/>
        </w:rPr>
        <w:t>Versorgung</w:t>
      </w:r>
      <w:r>
        <w:rPr>
          <w:noProof/>
        </w:rPr>
        <w:tab/>
      </w:r>
      <w:r>
        <w:rPr>
          <w:noProof/>
        </w:rPr>
        <w:fldChar w:fldCharType="begin"/>
      </w:r>
      <w:r>
        <w:rPr>
          <w:noProof/>
        </w:rPr>
        <w:instrText xml:space="preserve"> PAGEREF _Toc188346320 \h </w:instrText>
      </w:r>
      <w:r>
        <w:rPr>
          <w:noProof/>
        </w:rPr>
      </w:r>
      <w:r>
        <w:rPr>
          <w:noProof/>
        </w:rPr>
        <w:fldChar w:fldCharType="separate"/>
      </w:r>
      <w:r>
        <w:rPr>
          <w:noProof/>
        </w:rPr>
        <w:t>25</w:t>
      </w:r>
      <w:r>
        <w:rPr>
          <w:noProof/>
        </w:rPr>
        <w:fldChar w:fldCharType="end"/>
      </w:r>
    </w:p>
    <w:p w14:paraId="742960B2" w14:textId="46CCED96"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6.1</w:t>
      </w:r>
      <w:r w:rsidRPr="004C6B34">
        <w:rPr>
          <w:rFonts w:asciiTheme="minorHAnsi" w:eastAsiaTheme="minorEastAsia" w:hAnsiTheme="minorHAnsi" w:cstheme="minorBidi"/>
          <w:noProof/>
          <w:kern w:val="2"/>
          <w:sz w:val="24"/>
          <w:szCs w:val="24"/>
          <w14:ligatures w14:val="standardContextual"/>
        </w:rPr>
        <w:tab/>
      </w:r>
      <w:r>
        <w:rPr>
          <w:noProof/>
          <w:lang w:eastAsia="de-DE"/>
        </w:rPr>
        <w:t>Lieferabsicherung / Liefertreue</w:t>
      </w:r>
      <w:r>
        <w:rPr>
          <w:noProof/>
        </w:rPr>
        <w:tab/>
      </w:r>
      <w:r>
        <w:rPr>
          <w:noProof/>
        </w:rPr>
        <w:fldChar w:fldCharType="begin"/>
      </w:r>
      <w:r>
        <w:rPr>
          <w:noProof/>
        </w:rPr>
        <w:instrText xml:space="preserve"> PAGEREF _Toc188346321 \h </w:instrText>
      </w:r>
      <w:r>
        <w:rPr>
          <w:noProof/>
        </w:rPr>
      </w:r>
      <w:r>
        <w:rPr>
          <w:noProof/>
        </w:rPr>
        <w:fldChar w:fldCharType="separate"/>
      </w:r>
      <w:r>
        <w:rPr>
          <w:noProof/>
        </w:rPr>
        <w:t>25</w:t>
      </w:r>
      <w:r>
        <w:rPr>
          <w:noProof/>
        </w:rPr>
        <w:fldChar w:fldCharType="end"/>
      </w:r>
    </w:p>
    <w:p w14:paraId="726F8DD6" w14:textId="5D8DCF84"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6.2</w:t>
      </w:r>
      <w:r w:rsidRPr="004C6B34">
        <w:rPr>
          <w:rFonts w:asciiTheme="minorHAnsi" w:eastAsiaTheme="minorEastAsia" w:hAnsiTheme="minorHAnsi" w:cstheme="minorBidi"/>
          <w:noProof/>
          <w:kern w:val="2"/>
          <w:sz w:val="24"/>
          <w:szCs w:val="24"/>
          <w14:ligatures w14:val="standardContextual"/>
        </w:rPr>
        <w:tab/>
      </w:r>
      <w:r>
        <w:rPr>
          <w:noProof/>
          <w:lang w:eastAsia="de-DE"/>
        </w:rPr>
        <w:t>Reaktion bei Lieferengpässen</w:t>
      </w:r>
      <w:r>
        <w:rPr>
          <w:noProof/>
        </w:rPr>
        <w:tab/>
      </w:r>
      <w:r>
        <w:rPr>
          <w:noProof/>
        </w:rPr>
        <w:fldChar w:fldCharType="begin"/>
      </w:r>
      <w:r>
        <w:rPr>
          <w:noProof/>
        </w:rPr>
        <w:instrText xml:space="preserve"> PAGEREF _Toc188346322 \h </w:instrText>
      </w:r>
      <w:r>
        <w:rPr>
          <w:noProof/>
        </w:rPr>
      </w:r>
      <w:r>
        <w:rPr>
          <w:noProof/>
        </w:rPr>
        <w:fldChar w:fldCharType="separate"/>
      </w:r>
      <w:r>
        <w:rPr>
          <w:noProof/>
        </w:rPr>
        <w:t>25</w:t>
      </w:r>
      <w:r>
        <w:rPr>
          <w:noProof/>
        </w:rPr>
        <w:fldChar w:fldCharType="end"/>
      </w:r>
    </w:p>
    <w:p w14:paraId="3CA150A4" w14:textId="1BC67BC0"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6.3</w:t>
      </w:r>
      <w:r w:rsidRPr="004C6B34">
        <w:rPr>
          <w:rFonts w:asciiTheme="minorHAnsi" w:eastAsiaTheme="minorEastAsia" w:hAnsiTheme="minorHAnsi" w:cstheme="minorBidi"/>
          <w:noProof/>
          <w:kern w:val="2"/>
          <w:sz w:val="24"/>
          <w:szCs w:val="24"/>
          <w14:ligatures w14:val="standardContextual"/>
        </w:rPr>
        <w:tab/>
      </w:r>
      <w:r>
        <w:rPr>
          <w:noProof/>
          <w:lang w:eastAsia="de-DE"/>
        </w:rPr>
        <w:t>Abrufverfahren</w:t>
      </w:r>
      <w:r>
        <w:rPr>
          <w:noProof/>
        </w:rPr>
        <w:tab/>
      </w:r>
      <w:r>
        <w:rPr>
          <w:noProof/>
        </w:rPr>
        <w:fldChar w:fldCharType="begin"/>
      </w:r>
      <w:r>
        <w:rPr>
          <w:noProof/>
        </w:rPr>
        <w:instrText xml:space="preserve"> PAGEREF _Toc188346323 \h </w:instrText>
      </w:r>
      <w:r>
        <w:rPr>
          <w:noProof/>
        </w:rPr>
      </w:r>
      <w:r>
        <w:rPr>
          <w:noProof/>
        </w:rPr>
        <w:fldChar w:fldCharType="separate"/>
      </w:r>
      <w:r>
        <w:rPr>
          <w:noProof/>
        </w:rPr>
        <w:t>26</w:t>
      </w:r>
      <w:r>
        <w:rPr>
          <w:noProof/>
        </w:rPr>
        <w:fldChar w:fldCharType="end"/>
      </w:r>
    </w:p>
    <w:p w14:paraId="139F6DD6" w14:textId="7526C5CC"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6.4</w:t>
      </w:r>
      <w:r w:rsidRPr="004C6B34">
        <w:rPr>
          <w:rFonts w:asciiTheme="minorHAnsi" w:eastAsiaTheme="minorEastAsia" w:hAnsiTheme="minorHAnsi" w:cstheme="minorBidi"/>
          <w:noProof/>
          <w:kern w:val="2"/>
          <w:sz w:val="24"/>
          <w:szCs w:val="24"/>
          <w14:ligatures w14:val="standardContextual"/>
        </w:rPr>
        <w:tab/>
      </w:r>
      <w:r>
        <w:rPr>
          <w:noProof/>
          <w:lang w:eastAsia="de-DE"/>
        </w:rPr>
        <w:t>Freigabeverfahren und Wiederbeschaffungszeiten</w:t>
      </w:r>
      <w:r>
        <w:rPr>
          <w:noProof/>
        </w:rPr>
        <w:tab/>
      </w:r>
      <w:r>
        <w:rPr>
          <w:noProof/>
        </w:rPr>
        <w:fldChar w:fldCharType="begin"/>
      </w:r>
      <w:r>
        <w:rPr>
          <w:noProof/>
        </w:rPr>
        <w:instrText xml:space="preserve"> PAGEREF _Toc188346324 \h </w:instrText>
      </w:r>
      <w:r>
        <w:rPr>
          <w:noProof/>
        </w:rPr>
      </w:r>
      <w:r>
        <w:rPr>
          <w:noProof/>
        </w:rPr>
        <w:fldChar w:fldCharType="separate"/>
      </w:r>
      <w:r>
        <w:rPr>
          <w:noProof/>
        </w:rPr>
        <w:t>27</w:t>
      </w:r>
      <w:r>
        <w:rPr>
          <w:noProof/>
        </w:rPr>
        <w:fldChar w:fldCharType="end"/>
      </w:r>
    </w:p>
    <w:p w14:paraId="66455E71" w14:textId="285EF894" w:rsidR="004C6B34" w:rsidRPr="004C6B34" w:rsidRDefault="004C6B34">
      <w:pPr>
        <w:pStyle w:val="TOC2"/>
        <w:rPr>
          <w:rFonts w:asciiTheme="minorHAnsi" w:eastAsiaTheme="minorEastAsia" w:hAnsiTheme="minorHAnsi" w:cstheme="minorBidi"/>
          <w:noProof/>
          <w:kern w:val="2"/>
          <w:sz w:val="24"/>
          <w:szCs w:val="24"/>
          <w14:ligatures w14:val="standardContextual"/>
        </w:rPr>
      </w:pPr>
      <w:r w:rsidRPr="004C6B34">
        <w:rPr>
          <w:noProof/>
          <w:lang w:eastAsia="de-DE"/>
        </w:rPr>
        <w:t>6.5</w:t>
      </w:r>
      <w:r w:rsidRPr="004C6B34">
        <w:rPr>
          <w:rFonts w:asciiTheme="minorHAnsi" w:eastAsiaTheme="minorEastAsia" w:hAnsiTheme="minorHAnsi" w:cstheme="minorBidi"/>
          <w:noProof/>
          <w:kern w:val="2"/>
          <w:sz w:val="24"/>
          <w:szCs w:val="24"/>
          <w14:ligatures w14:val="standardContextual"/>
        </w:rPr>
        <w:tab/>
      </w:r>
      <w:r w:rsidRPr="004C6B34">
        <w:rPr>
          <w:noProof/>
          <w:lang w:eastAsia="de-DE"/>
        </w:rPr>
        <w:t>Mindestbestellmenge</w:t>
      </w:r>
      <w:r>
        <w:rPr>
          <w:noProof/>
        </w:rPr>
        <w:tab/>
      </w:r>
      <w:r>
        <w:rPr>
          <w:noProof/>
        </w:rPr>
        <w:fldChar w:fldCharType="begin"/>
      </w:r>
      <w:r>
        <w:rPr>
          <w:noProof/>
        </w:rPr>
        <w:instrText xml:space="preserve"> PAGEREF _Toc188346325 \h </w:instrText>
      </w:r>
      <w:r>
        <w:rPr>
          <w:noProof/>
        </w:rPr>
      </w:r>
      <w:r>
        <w:rPr>
          <w:noProof/>
        </w:rPr>
        <w:fldChar w:fldCharType="separate"/>
      </w:r>
      <w:r>
        <w:rPr>
          <w:noProof/>
        </w:rPr>
        <w:t>29</w:t>
      </w:r>
      <w:r>
        <w:rPr>
          <w:noProof/>
        </w:rPr>
        <w:fldChar w:fldCharType="end"/>
      </w:r>
    </w:p>
    <w:p w14:paraId="0E44FBA2" w14:textId="476CA87F"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6.6</w:t>
      </w:r>
      <w:r w:rsidRPr="004C6B34">
        <w:rPr>
          <w:rFonts w:asciiTheme="minorHAnsi" w:eastAsiaTheme="minorEastAsia" w:hAnsiTheme="minorHAnsi" w:cstheme="minorBidi"/>
          <w:noProof/>
          <w:kern w:val="2"/>
          <w:sz w:val="24"/>
          <w:szCs w:val="24"/>
          <w14:ligatures w14:val="standardContextual"/>
        </w:rPr>
        <w:tab/>
      </w:r>
      <w:r>
        <w:rPr>
          <w:noProof/>
          <w:lang w:eastAsia="de-DE"/>
        </w:rPr>
        <w:t>Notfallstrategie</w:t>
      </w:r>
      <w:r>
        <w:rPr>
          <w:noProof/>
        </w:rPr>
        <w:tab/>
      </w:r>
      <w:r>
        <w:rPr>
          <w:noProof/>
        </w:rPr>
        <w:fldChar w:fldCharType="begin"/>
      </w:r>
      <w:r>
        <w:rPr>
          <w:noProof/>
        </w:rPr>
        <w:instrText xml:space="preserve"> PAGEREF _Toc188346326 \h </w:instrText>
      </w:r>
      <w:r>
        <w:rPr>
          <w:noProof/>
        </w:rPr>
      </w:r>
      <w:r>
        <w:rPr>
          <w:noProof/>
        </w:rPr>
        <w:fldChar w:fldCharType="separate"/>
      </w:r>
      <w:r>
        <w:rPr>
          <w:noProof/>
        </w:rPr>
        <w:t>29</w:t>
      </w:r>
      <w:r>
        <w:rPr>
          <w:noProof/>
        </w:rPr>
        <w:fldChar w:fldCharType="end"/>
      </w:r>
    </w:p>
    <w:p w14:paraId="07761C85" w14:textId="12897B06" w:rsidR="004C6B34" w:rsidRPr="004C6B34" w:rsidRDefault="004C6B34">
      <w:pPr>
        <w:pStyle w:val="TOC1"/>
        <w:rPr>
          <w:rFonts w:asciiTheme="minorHAnsi" w:eastAsiaTheme="minorEastAsia" w:hAnsiTheme="minorHAnsi" w:cstheme="minorBidi"/>
          <w:b w:val="0"/>
          <w:noProof/>
          <w:kern w:val="2"/>
          <w:sz w:val="24"/>
          <w:szCs w:val="24"/>
          <w14:ligatures w14:val="standardContextual"/>
        </w:rPr>
      </w:pPr>
      <w:r>
        <w:rPr>
          <w:noProof/>
          <w:lang w:eastAsia="de-DE"/>
        </w:rPr>
        <w:t>7</w:t>
      </w:r>
      <w:r w:rsidRPr="004C6B34">
        <w:rPr>
          <w:rFonts w:asciiTheme="minorHAnsi" w:eastAsiaTheme="minorEastAsia" w:hAnsiTheme="minorHAnsi" w:cstheme="minorBidi"/>
          <w:b w:val="0"/>
          <w:noProof/>
          <w:kern w:val="2"/>
          <w:sz w:val="24"/>
          <w:szCs w:val="24"/>
          <w14:ligatures w14:val="standardContextual"/>
        </w:rPr>
        <w:tab/>
      </w:r>
      <w:r>
        <w:rPr>
          <w:noProof/>
          <w:lang w:eastAsia="de-DE"/>
        </w:rPr>
        <w:t>Logistikqualität</w:t>
      </w:r>
      <w:r>
        <w:rPr>
          <w:noProof/>
        </w:rPr>
        <w:tab/>
      </w:r>
      <w:r>
        <w:rPr>
          <w:noProof/>
        </w:rPr>
        <w:fldChar w:fldCharType="begin"/>
      </w:r>
      <w:r>
        <w:rPr>
          <w:noProof/>
        </w:rPr>
        <w:instrText xml:space="preserve"> PAGEREF _Toc188346327 \h </w:instrText>
      </w:r>
      <w:r>
        <w:rPr>
          <w:noProof/>
        </w:rPr>
      </w:r>
      <w:r>
        <w:rPr>
          <w:noProof/>
        </w:rPr>
        <w:fldChar w:fldCharType="separate"/>
      </w:r>
      <w:r>
        <w:rPr>
          <w:noProof/>
        </w:rPr>
        <w:t>30</w:t>
      </w:r>
      <w:r>
        <w:rPr>
          <w:noProof/>
        </w:rPr>
        <w:fldChar w:fldCharType="end"/>
      </w:r>
    </w:p>
    <w:p w14:paraId="5930C34D" w14:textId="7AC6C158" w:rsidR="004C6B34" w:rsidRPr="004C6B34" w:rsidRDefault="004C6B34">
      <w:pPr>
        <w:pStyle w:val="TOC1"/>
        <w:rPr>
          <w:rFonts w:asciiTheme="minorHAnsi" w:eastAsiaTheme="minorEastAsia" w:hAnsiTheme="minorHAnsi" w:cstheme="minorBidi"/>
          <w:b w:val="0"/>
          <w:noProof/>
          <w:kern w:val="2"/>
          <w:sz w:val="24"/>
          <w:szCs w:val="24"/>
          <w14:ligatures w14:val="standardContextual"/>
        </w:rPr>
      </w:pPr>
      <w:r>
        <w:rPr>
          <w:noProof/>
          <w:lang w:eastAsia="de-DE"/>
        </w:rPr>
        <w:t>8</w:t>
      </w:r>
      <w:r w:rsidRPr="004C6B34">
        <w:rPr>
          <w:rFonts w:asciiTheme="minorHAnsi" w:eastAsiaTheme="minorEastAsia" w:hAnsiTheme="minorHAnsi" w:cstheme="minorBidi"/>
          <w:b w:val="0"/>
          <w:noProof/>
          <w:kern w:val="2"/>
          <w:sz w:val="24"/>
          <w:szCs w:val="24"/>
          <w14:ligatures w14:val="standardContextual"/>
        </w:rPr>
        <w:tab/>
      </w:r>
      <w:r>
        <w:rPr>
          <w:noProof/>
          <w:lang w:eastAsia="de-DE"/>
        </w:rPr>
        <w:t>Logistikkosten</w:t>
      </w:r>
      <w:r>
        <w:rPr>
          <w:noProof/>
        </w:rPr>
        <w:tab/>
      </w:r>
      <w:r>
        <w:rPr>
          <w:noProof/>
        </w:rPr>
        <w:fldChar w:fldCharType="begin"/>
      </w:r>
      <w:r>
        <w:rPr>
          <w:noProof/>
        </w:rPr>
        <w:instrText xml:space="preserve"> PAGEREF _Toc188346328 \h </w:instrText>
      </w:r>
      <w:r>
        <w:rPr>
          <w:noProof/>
        </w:rPr>
      </w:r>
      <w:r>
        <w:rPr>
          <w:noProof/>
        </w:rPr>
        <w:fldChar w:fldCharType="separate"/>
      </w:r>
      <w:r>
        <w:rPr>
          <w:noProof/>
        </w:rPr>
        <w:t>31</w:t>
      </w:r>
      <w:r>
        <w:rPr>
          <w:noProof/>
        </w:rPr>
        <w:fldChar w:fldCharType="end"/>
      </w:r>
    </w:p>
    <w:p w14:paraId="3EC14886" w14:textId="23815E2D" w:rsidR="004C6B34" w:rsidRPr="004C6B34" w:rsidRDefault="004C6B34">
      <w:pPr>
        <w:pStyle w:val="TOC2"/>
        <w:rPr>
          <w:rFonts w:asciiTheme="minorHAnsi" w:eastAsiaTheme="minorEastAsia" w:hAnsiTheme="minorHAnsi" w:cstheme="minorBidi"/>
          <w:noProof/>
          <w:kern w:val="2"/>
          <w:sz w:val="24"/>
          <w:szCs w:val="24"/>
          <w14:ligatures w14:val="standardContextual"/>
        </w:rPr>
      </w:pPr>
      <w:r>
        <w:rPr>
          <w:noProof/>
          <w:lang w:eastAsia="de-DE"/>
        </w:rPr>
        <w:t>8.1</w:t>
      </w:r>
      <w:r w:rsidRPr="004C6B34">
        <w:rPr>
          <w:rFonts w:asciiTheme="minorHAnsi" w:eastAsiaTheme="minorEastAsia" w:hAnsiTheme="minorHAnsi" w:cstheme="minorBidi"/>
          <w:noProof/>
          <w:kern w:val="2"/>
          <w:sz w:val="24"/>
          <w:szCs w:val="24"/>
          <w14:ligatures w14:val="standardContextual"/>
        </w:rPr>
        <w:tab/>
      </w:r>
      <w:r>
        <w:rPr>
          <w:noProof/>
          <w:lang w:eastAsia="de-DE"/>
        </w:rPr>
        <w:t>Abgrenzung A-Preis</w:t>
      </w:r>
      <w:r>
        <w:rPr>
          <w:noProof/>
        </w:rPr>
        <w:tab/>
      </w:r>
      <w:r>
        <w:rPr>
          <w:noProof/>
        </w:rPr>
        <w:fldChar w:fldCharType="begin"/>
      </w:r>
      <w:r>
        <w:rPr>
          <w:noProof/>
        </w:rPr>
        <w:instrText xml:space="preserve"> PAGEREF _Toc188346329 \h </w:instrText>
      </w:r>
      <w:r>
        <w:rPr>
          <w:noProof/>
        </w:rPr>
      </w:r>
      <w:r>
        <w:rPr>
          <w:noProof/>
        </w:rPr>
        <w:fldChar w:fldCharType="separate"/>
      </w:r>
      <w:r>
        <w:rPr>
          <w:noProof/>
        </w:rPr>
        <w:t>31</w:t>
      </w:r>
      <w:r>
        <w:rPr>
          <w:noProof/>
        </w:rPr>
        <w:fldChar w:fldCharType="end"/>
      </w:r>
    </w:p>
    <w:p w14:paraId="18081792" w14:textId="3B09141D" w:rsidR="004C6B34" w:rsidRDefault="004C6B34">
      <w:pPr>
        <w:pStyle w:val="TOC2"/>
        <w:rPr>
          <w:rFonts w:asciiTheme="minorHAnsi" w:eastAsiaTheme="minorEastAsia" w:hAnsiTheme="minorHAnsi" w:cstheme="minorBidi"/>
          <w:noProof/>
          <w:kern w:val="2"/>
          <w:sz w:val="24"/>
          <w:szCs w:val="24"/>
          <w:lang w:val="en-GB"/>
          <w14:ligatures w14:val="standardContextual"/>
        </w:rPr>
      </w:pPr>
      <w:r>
        <w:rPr>
          <w:noProof/>
          <w:lang w:eastAsia="de-DE"/>
        </w:rPr>
        <w:t>8.2</w:t>
      </w:r>
      <w:r>
        <w:rPr>
          <w:rFonts w:asciiTheme="minorHAnsi" w:eastAsiaTheme="minorEastAsia" w:hAnsiTheme="minorHAnsi" w:cstheme="minorBidi"/>
          <w:noProof/>
          <w:kern w:val="2"/>
          <w:sz w:val="24"/>
          <w:szCs w:val="24"/>
          <w:lang w:val="en-GB"/>
          <w14:ligatures w14:val="standardContextual"/>
        </w:rPr>
        <w:tab/>
      </w:r>
      <w:r>
        <w:rPr>
          <w:noProof/>
          <w:lang w:eastAsia="de-DE"/>
        </w:rPr>
        <w:t>Abgrenzung B-Preis</w:t>
      </w:r>
      <w:r>
        <w:rPr>
          <w:noProof/>
        </w:rPr>
        <w:tab/>
      </w:r>
      <w:r>
        <w:rPr>
          <w:noProof/>
        </w:rPr>
        <w:fldChar w:fldCharType="begin"/>
      </w:r>
      <w:r>
        <w:rPr>
          <w:noProof/>
        </w:rPr>
        <w:instrText xml:space="preserve"> PAGEREF _Toc188346330 \h </w:instrText>
      </w:r>
      <w:r>
        <w:rPr>
          <w:noProof/>
        </w:rPr>
      </w:r>
      <w:r>
        <w:rPr>
          <w:noProof/>
        </w:rPr>
        <w:fldChar w:fldCharType="separate"/>
      </w:r>
      <w:r>
        <w:rPr>
          <w:noProof/>
        </w:rPr>
        <w:t>31</w:t>
      </w:r>
      <w:r>
        <w:rPr>
          <w:noProof/>
        </w:rPr>
        <w:fldChar w:fldCharType="end"/>
      </w:r>
    </w:p>
    <w:p w14:paraId="7E2856E0" w14:textId="097CFC2E" w:rsidR="008A7715" w:rsidRDefault="00CC217C" w:rsidP="00CC217C">
      <w:pPr>
        <w:pStyle w:val="Verz1"/>
      </w:pPr>
      <w:r>
        <w:fldChar w:fldCharType="end"/>
      </w:r>
    </w:p>
    <w:p w14:paraId="6C99CE9A" w14:textId="77777777" w:rsidR="00314C9D" w:rsidRDefault="00314C9D" w:rsidP="00AC6BB7">
      <w:pPr>
        <w:pStyle w:val="Verz1"/>
      </w:pPr>
    </w:p>
    <w:p w14:paraId="6397D444" w14:textId="77777777" w:rsidR="00314C9D" w:rsidRDefault="00314C9D" w:rsidP="004E06FE">
      <w:pPr>
        <w:pStyle w:val="Verz1"/>
      </w:pPr>
    </w:p>
    <w:p w14:paraId="52B72B50" w14:textId="77777777" w:rsidR="00486378" w:rsidRPr="00484454" w:rsidRDefault="0069338B" w:rsidP="00484454">
      <w:pPr>
        <w:pStyle w:val="b1"/>
      </w:pPr>
      <w:r>
        <w:br w:type="page"/>
      </w:r>
      <w:bookmarkStart w:id="0" w:name="Vorwort"/>
      <w:bookmarkStart w:id="1" w:name="_Toc179342290"/>
      <w:bookmarkStart w:id="2" w:name="_Toc181169698"/>
      <w:bookmarkStart w:id="3" w:name="_Toc188346293"/>
      <w:r w:rsidR="00486378" w:rsidRPr="00484454">
        <w:t>Vorwort</w:t>
      </w:r>
      <w:bookmarkEnd w:id="0"/>
      <w:bookmarkEnd w:id="1"/>
      <w:bookmarkEnd w:id="3"/>
    </w:p>
    <w:p w14:paraId="58058A81" w14:textId="77777777" w:rsidR="00486378" w:rsidRPr="00486378" w:rsidRDefault="00D7379D" w:rsidP="006F12E4">
      <w:pPr>
        <w:pStyle w:val="BodyText"/>
        <w:rPr>
          <w:lang w:eastAsia="de-DE"/>
        </w:rPr>
      </w:pPr>
      <w:r>
        <w:rPr>
          <w:lang w:eastAsia="de-DE"/>
        </w:rPr>
        <w:t>D</w:t>
      </w:r>
      <w:r w:rsidR="00486378" w:rsidRPr="00486378">
        <w:rPr>
          <w:lang w:eastAsia="de-DE"/>
        </w:rPr>
        <w:t>ie Basis für eine erfolgreiche Zusammenarbeit zwischen Ihnen als Lieferant und dem GRAMMER KONZERN, im nachfolgenden GRAMMER genannt, ist die klare Kommunikation und offene Information.</w:t>
      </w:r>
    </w:p>
    <w:p w14:paraId="679F6D06" w14:textId="77777777" w:rsidR="00486378" w:rsidRPr="00486378" w:rsidRDefault="00486378" w:rsidP="006F12E4">
      <w:pPr>
        <w:pStyle w:val="BodyText"/>
        <w:rPr>
          <w:lang w:eastAsia="de-DE"/>
        </w:rPr>
      </w:pPr>
    </w:p>
    <w:p w14:paraId="6A266A2D" w14:textId="77777777" w:rsidR="00486378" w:rsidRPr="00486378" w:rsidRDefault="00486378" w:rsidP="006F12E4">
      <w:pPr>
        <w:pStyle w:val="BodyText"/>
        <w:rPr>
          <w:lang w:eastAsia="de-DE"/>
        </w:rPr>
      </w:pPr>
      <w:r w:rsidRPr="00486378">
        <w:rPr>
          <w:lang w:eastAsia="de-DE"/>
        </w:rPr>
        <w:t>Dies gilt vor allen Dingen, wenn es um so etwas Komplexes wie die Versorgungslogistik zur Sicherstellung unserer Produktion geht. Eine effiziente Montage ist ohne das perfekte Funktionieren der Logistik innerhalb vereinbarter Regeln nicht vorstellbar.</w:t>
      </w:r>
    </w:p>
    <w:p w14:paraId="5EC428DF" w14:textId="77777777" w:rsidR="00486378" w:rsidRPr="00486378" w:rsidRDefault="00486378" w:rsidP="006F12E4">
      <w:pPr>
        <w:pStyle w:val="BodyText"/>
        <w:rPr>
          <w:lang w:eastAsia="de-DE"/>
        </w:rPr>
      </w:pPr>
    </w:p>
    <w:p w14:paraId="2660DBC3" w14:textId="77777777" w:rsidR="00486378" w:rsidRPr="00486378" w:rsidRDefault="00486378" w:rsidP="006F12E4">
      <w:pPr>
        <w:pStyle w:val="BodyText"/>
        <w:rPr>
          <w:lang w:eastAsia="de-DE"/>
        </w:rPr>
      </w:pPr>
      <w:r w:rsidRPr="00486378">
        <w:rPr>
          <w:lang w:eastAsia="de-DE"/>
        </w:rPr>
        <w:t xml:space="preserve">Um diese Ziele für alle Beteiligten zu verdeutlichen und verbindlich zu regeln, haben wir diese, für Sie, in der vorliegenden Richtlinie, „Logistik-Richtlinie des GRAMMER KONZERNS“, zusammengefasst. Diese Richtlinie ist ein wesentlicher Bestandteil unserer vertraglichen Beziehung und kann durch weiterführende, logistische Vereinbarungen (Logistik Vereinbarungen / Logistiklastenheft) ergänzt werden. Änderungen in der Richtlinie behalten wir uns bei Bedarf vor. </w:t>
      </w:r>
    </w:p>
    <w:p w14:paraId="6CDB9F21" w14:textId="77777777" w:rsidR="00486378" w:rsidRPr="00486378" w:rsidRDefault="00486378" w:rsidP="006F12E4">
      <w:pPr>
        <w:pStyle w:val="BodyText"/>
        <w:rPr>
          <w:lang w:eastAsia="de-DE"/>
        </w:rPr>
      </w:pPr>
    </w:p>
    <w:p w14:paraId="4074A648" w14:textId="77777777" w:rsidR="00486378" w:rsidRPr="00486378" w:rsidRDefault="00486378" w:rsidP="006F12E4">
      <w:pPr>
        <w:pStyle w:val="BodyText"/>
        <w:rPr>
          <w:lang w:eastAsia="de-DE"/>
        </w:rPr>
      </w:pPr>
      <w:r w:rsidRPr="00486378">
        <w:rPr>
          <w:lang w:eastAsia="de-DE"/>
        </w:rPr>
        <w:t>Im Sinne einer partnerschaftlichen Zusammenarbeit werden Prozesse kontinuierlich überprüft. Gegebenenfalls werden auch Audits oder Prozessanalysen beim Lieferanten durchgeführt, um daraus Optimierungen und Einsparungspotentiale abzuleiten. GRAMMER behält sich das Recht vor, erforderliche Änderungen in den Prozessen vorzunehmen.</w:t>
      </w:r>
    </w:p>
    <w:p w14:paraId="561BE435" w14:textId="77777777" w:rsidR="00486378" w:rsidRPr="00486378" w:rsidRDefault="00486378" w:rsidP="006F12E4">
      <w:pPr>
        <w:pStyle w:val="BodyText"/>
        <w:rPr>
          <w:lang w:eastAsia="de-DE"/>
        </w:rPr>
      </w:pPr>
    </w:p>
    <w:p w14:paraId="070EAD1C" w14:textId="77777777" w:rsidR="00486378" w:rsidRPr="00486378" w:rsidRDefault="00486378" w:rsidP="006F12E4">
      <w:pPr>
        <w:pStyle w:val="BodyText"/>
        <w:rPr>
          <w:lang w:eastAsia="de-DE"/>
        </w:rPr>
      </w:pPr>
      <w:r w:rsidRPr="00486378">
        <w:rPr>
          <w:lang w:eastAsia="de-DE"/>
        </w:rPr>
        <w:t>Sollten sich darüber hinaus Fragen ergeben, sind Sie eingeladen, diese mit unseren Teams zu diskutieren.</w:t>
      </w:r>
    </w:p>
    <w:p w14:paraId="5913B535" w14:textId="77777777" w:rsidR="00486378" w:rsidRPr="00486378" w:rsidRDefault="00486378" w:rsidP="006F12E4">
      <w:pPr>
        <w:pStyle w:val="BodyText"/>
        <w:rPr>
          <w:lang w:eastAsia="de-DE"/>
        </w:rPr>
      </w:pPr>
    </w:p>
    <w:p w14:paraId="641B8845" w14:textId="77777777" w:rsidR="00486378" w:rsidRPr="00486378" w:rsidRDefault="006F12E4" w:rsidP="00484454">
      <w:pPr>
        <w:pStyle w:val="b1"/>
        <w:rPr>
          <w:lang w:eastAsia="de-DE"/>
        </w:rPr>
      </w:pPr>
      <w:r>
        <w:rPr>
          <w:rFonts w:eastAsia="Times New Roman"/>
          <w:sz w:val="22"/>
          <w:szCs w:val="22"/>
          <w:lang w:eastAsia="de-DE"/>
        </w:rPr>
        <w:br w:type="page"/>
      </w:r>
      <w:bookmarkStart w:id="4" w:name="Information"/>
      <w:bookmarkStart w:id="5" w:name="_Toc179342291"/>
      <w:bookmarkStart w:id="6" w:name="_Toc188346294"/>
      <w:r w:rsidR="00486378" w:rsidRPr="00486378">
        <w:rPr>
          <w:lang w:eastAsia="de-DE"/>
        </w:rPr>
        <w:t>Information und Kommunikation</w:t>
      </w:r>
      <w:bookmarkEnd w:id="4"/>
      <w:bookmarkEnd w:id="5"/>
      <w:bookmarkEnd w:id="6"/>
    </w:p>
    <w:p w14:paraId="0F47ACFD" w14:textId="77777777" w:rsidR="00486378" w:rsidRPr="00486378" w:rsidRDefault="00486378" w:rsidP="006F12E4">
      <w:pPr>
        <w:pStyle w:val="b2"/>
        <w:rPr>
          <w:lang w:eastAsia="de-DE"/>
        </w:rPr>
      </w:pPr>
      <w:bookmarkStart w:id="7" w:name="Organisation"/>
      <w:bookmarkStart w:id="8" w:name="_Toc179342292"/>
      <w:bookmarkStart w:id="9" w:name="_Toc188346295"/>
      <w:r w:rsidRPr="00486378">
        <w:rPr>
          <w:lang w:eastAsia="de-DE"/>
        </w:rPr>
        <w:t>Organisation</w:t>
      </w:r>
      <w:bookmarkEnd w:id="7"/>
      <w:bookmarkEnd w:id="8"/>
      <w:bookmarkEnd w:id="9"/>
    </w:p>
    <w:p w14:paraId="4BC42B4B" w14:textId="77777777" w:rsidR="007C7C16" w:rsidRDefault="00486378" w:rsidP="006F12E4">
      <w:pPr>
        <w:pStyle w:val="BodyText"/>
        <w:rPr>
          <w:lang w:eastAsia="de-DE"/>
        </w:rPr>
      </w:pPr>
      <w:r w:rsidRPr="00486378">
        <w:rPr>
          <w:lang w:eastAsia="de-DE"/>
        </w:rPr>
        <w:t>Für den Lieferprozess sind an GRAMMER jeweils feste Ansprechpartner und deren Vertreter zu benennen, die kompetent und verlässlich Entscheidungen treffen können.</w:t>
      </w:r>
    </w:p>
    <w:p w14:paraId="3FBDBDBA" w14:textId="77777777" w:rsidR="00486378" w:rsidRDefault="00486378" w:rsidP="006F12E4">
      <w:pPr>
        <w:pStyle w:val="BodyText"/>
        <w:rPr>
          <w:lang w:eastAsia="de-DE"/>
        </w:rPr>
      </w:pPr>
      <w:r w:rsidRPr="00486378">
        <w:rPr>
          <w:lang w:eastAsia="de-DE"/>
        </w:rPr>
        <w:t>Die Namen sind der GRAMMER – Werkslogistik zu nennen.</w:t>
      </w:r>
    </w:p>
    <w:p w14:paraId="6D246E78" w14:textId="77777777" w:rsidR="00484454" w:rsidRDefault="00484454" w:rsidP="006F12E4">
      <w:pPr>
        <w:pStyle w:val="BodyText"/>
        <w:rPr>
          <w:lang w:eastAsia="de-DE"/>
        </w:rPr>
      </w:pPr>
    </w:p>
    <w:p w14:paraId="29AEF2FF" w14:textId="77777777" w:rsidR="00484454" w:rsidRDefault="00484454" w:rsidP="006F12E4">
      <w:pPr>
        <w:pStyle w:val="BodyText"/>
        <w:rPr>
          <w:lang w:eastAsia="de-DE"/>
        </w:rPr>
      </w:pPr>
    </w:p>
    <w:p w14:paraId="37ACEECA" w14:textId="77777777" w:rsidR="00484454" w:rsidRPr="00486378" w:rsidRDefault="00484454" w:rsidP="006F12E4">
      <w:pPr>
        <w:pStyle w:val="BodyText"/>
        <w:rPr>
          <w:lang w:eastAsia="de-DE"/>
        </w:rPr>
      </w:pPr>
    </w:p>
    <w:p w14:paraId="0051802C" w14:textId="77777777" w:rsidR="00486378" w:rsidRPr="00486378" w:rsidRDefault="00486378" w:rsidP="006F12E4">
      <w:pPr>
        <w:pStyle w:val="b2"/>
        <w:rPr>
          <w:lang w:eastAsia="de-DE"/>
        </w:rPr>
      </w:pPr>
      <w:bookmarkStart w:id="10" w:name="_Toc179342293"/>
      <w:bookmarkStart w:id="11" w:name="Auskunft"/>
      <w:bookmarkStart w:id="12" w:name="_Toc188346296"/>
      <w:r w:rsidRPr="00486378">
        <w:rPr>
          <w:lang w:eastAsia="de-DE"/>
        </w:rPr>
        <w:t>Auskunft</w:t>
      </w:r>
      <w:bookmarkEnd w:id="10"/>
      <w:bookmarkEnd w:id="12"/>
    </w:p>
    <w:bookmarkEnd w:id="11"/>
    <w:p w14:paraId="51AEC1B8" w14:textId="77777777" w:rsidR="00486378" w:rsidRDefault="00486378" w:rsidP="006F12E4">
      <w:pPr>
        <w:pStyle w:val="BodyText"/>
        <w:rPr>
          <w:lang w:eastAsia="de-DE"/>
        </w:rPr>
      </w:pPr>
      <w:r w:rsidRPr="00486378">
        <w:rPr>
          <w:lang w:eastAsia="de-DE"/>
        </w:rPr>
        <w:t>Anfragen/Rückfragen zur Materialverfügbarkeit bzw. Lieferterminen sind vom Lieferanten unverzüglich und verbindlich zu beantworten.</w:t>
      </w:r>
    </w:p>
    <w:p w14:paraId="384A905B" w14:textId="77777777" w:rsidR="00484454" w:rsidRDefault="00484454" w:rsidP="006F12E4">
      <w:pPr>
        <w:pStyle w:val="BodyText"/>
        <w:rPr>
          <w:lang w:eastAsia="de-DE"/>
        </w:rPr>
      </w:pPr>
    </w:p>
    <w:p w14:paraId="1F90B320" w14:textId="77777777" w:rsidR="00484454" w:rsidRDefault="00484454" w:rsidP="006F12E4">
      <w:pPr>
        <w:pStyle w:val="BodyText"/>
        <w:rPr>
          <w:lang w:eastAsia="de-DE"/>
        </w:rPr>
      </w:pPr>
    </w:p>
    <w:p w14:paraId="0D3491B8" w14:textId="77777777" w:rsidR="00484454" w:rsidRPr="00486378" w:rsidRDefault="00484454" w:rsidP="006F12E4">
      <w:pPr>
        <w:pStyle w:val="BodyText"/>
        <w:rPr>
          <w:lang w:eastAsia="de-DE"/>
        </w:rPr>
      </w:pPr>
    </w:p>
    <w:p w14:paraId="34C6F113" w14:textId="77777777" w:rsidR="00486378" w:rsidRPr="00486378" w:rsidRDefault="00486378" w:rsidP="006F12E4">
      <w:pPr>
        <w:pStyle w:val="b2"/>
        <w:rPr>
          <w:lang w:eastAsia="de-DE"/>
        </w:rPr>
      </w:pPr>
      <w:bookmarkStart w:id="13" w:name="_Toc179342294"/>
      <w:bookmarkStart w:id="14" w:name="Veränderungsanzeige"/>
      <w:bookmarkStart w:id="15" w:name="_Toc188346297"/>
      <w:r w:rsidRPr="00486378">
        <w:rPr>
          <w:lang w:eastAsia="de-DE"/>
        </w:rPr>
        <w:t>Veränderungsanzeige</w:t>
      </w:r>
      <w:bookmarkEnd w:id="13"/>
      <w:bookmarkEnd w:id="15"/>
    </w:p>
    <w:bookmarkEnd w:id="14"/>
    <w:p w14:paraId="4F1B2657" w14:textId="77777777" w:rsidR="00486378" w:rsidRPr="00486378" w:rsidRDefault="00486378" w:rsidP="00484454">
      <w:pPr>
        <w:pStyle w:val="BodyText"/>
        <w:rPr>
          <w:lang w:eastAsia="de-DE"/>
        </w:rPr>
      </w:pPr>
      <w:r w:rsidRPr="00486378">
        <w:rPr>
          <w:lang w:eastAsia="de-DE"/>
        </w:rPr>
        <w:t xml:space="preserve">Jede geplante Änderung des Produktionsstandortes oder des Versandwerkes ist unverzüglich dem </w:t>
      </w:r>
      <w:proofErr w:type="spellStart"/>
      <w:r w:rsidRPr="00486378">
        <w:rPr>
          <w:lang w:eastAsia="de-DE"/>
        </w:rPr>
        <w:t>Commodity</w:t>
      </w:r>
      <w:proofErr w:type="spellEnd"/>
      <w:r w:rsidRPr="00486378">
        <w:rPr>
          <w:lang w:eastAsia="de-DE"/>
        </w:rPr>
        <w:t xml:space="preserve"> Management, der Werkslogistik, der Disposition und der Qualitätssicherung der einzelnen Tochtergesellschaften von GRAMMER bekannt zu geben. GRAMMER hat das Recht, die Änderung abzulehnen. Stimmt GRAMMER der Änderung zu, findet ein gemeinsames Verlagerungsgespräch statt, das durch das </w:t>
      </w:r>
      <w:proofErr w:type="spellStart"/>
      <w:r w:rsidRPr="00486378">
        <w:rPr>
          <w:lang w:eastAsia="de-DE"/>
        </w:rPr>
        <w:t>Commodity</w:t>
      </w:r>
      <w:proofErr w:type="spellEnd"/>
      <w:r w:rsidRPr="00486378">
        <w:rPr>
          <w:lang w:eastAsia="de-DE"/>
        </w:rPr>
        <w:t xml:space="preserve"> Management koordiniert wird. Um die Verlagerung durchführen zu können, ist ein ausführlicher Ablauf- und Maßnahmenplan anzufertigen und mit GRAMMER abzustimmen. Dabei müssen entsprechende Zeiträume für Vorlaufproduktion, Auditierung des neuen Produktionsstandortes sowie Erstbemusterung vorgesehen werden. GRAMMER dürfen durch die Verlagerung keine Mehrkosten entstehen.</w:t>
      </w:r>
    </w:p>
    <w:p w14:paraId="5F9AB989" w14:textId="77777777" w:rsidR="00486378" w:rsidRDefault="00486378" w:rsidP="00484454">
      <w:pPr>
        <w:pStyle w:val="BodyText"/>
        <w:rPr>
          <w:rFonts w:eastAsia="Times New Roman"/>
          <w:sz w:val="22"/>
          <w:szCs w:val="22"/>
          <w:lang w:eastAsia="de-DE"/>
        </w:rPr>
      </w:pPr>
    </w:p>
    <w:p w14:paraId="4DCCA61E" w14:textId="77777777" w:rsidR="00484454" w:rsidRDefault="00484454" w:rsidP="00484454">
      <w:pPr>
        <w:pStyle w:val="BodyText"/>
        <w:rPr>
          <w:rFonts w:eastAsia="Times New Roman"/>
          <w:sz w:val="22"/>
          <w:szCs w:val="22"/>
          <w:lang w:eastAsia="de-DE"/>
        </w:rPr>
      </w:pPr>
    </w:p>
    <w:p w14:paraId="3F0DB593" w14:textId="77777777" w:rsidR="00484454" w:rsidRPr="00486378" w:rsidRDefault="00484454" w:rsidP="00484454">
      <w:pPr>
        <w:pStyle w:val="BodyText"/>
        <w:rPr>
          <w:rFonts w:eastAsia="Times New Roman"/>
          <w:sz w:val="22"/>
          <w:szCs w:val="22"/>
          <w:lang w:eastAsia="de-DE"/>
        </w:rPr>
      </w:pPr>
    </w:p>
    <w:p w14:paraId="0BFB98BB" w14:textId="77777777" w:rsidR="00486378" w:rsidRPr="00484454" w:rsidRDefault="00486378" w:rsidP="00484454">
      <w:pPr>
        <w:pStyle w:val="b2"/>
      </w:pPr>
      <w:bookmarkStart w:id="16" w:name="_Toc179342295"/>
      <w:bookmarkStart w:id="17" w:name="_Toc188346298"/>
      <w:r w:rsidRPr="00484454">
        <w:t>Begriffserklärungen</w:t>
      </w:r>
      <w:bookmarkEnd w:id="16"/>
      <w:bookmarkEnd w:id="17"/>
    </w:p>
    <w:p w14:paraId="4E1EE69E" w14:textId="77777777" w:rsidR="00486378" w:rsidRPr="00484454" w:rsidRDefault="00486378" w:rsidP="00484454">
      <w:pPr>
        <w:pStyle w:val="b3"/>
      </w:pPr>
      <w:bookmarkStart w:id="18" w:name="_Toc179342296"/>
      <w:r w:rsidRPr="00484454">
        <w:t>Lieferantenportal</w:t>
      </w:r>
      <w:bookmarkEnd w:id="18"/>
    </w:p>
    <w:p w14:paraId="12822D71" w14:textId="77777777" w:rsidR="00486378" w:rsidRPr="00484454" w:rsidRDefault="00486378" w:rsidP="00484454">
      <w:pPr>
        <w:pStyle w:val="b4"/>
      </w:pPr>
      <w:bookmarkStart w:id="19" w:name="_Toc179342297"/>
      <w:r w:rsidRPr="00484454">
        <w:t>Was ist das GRAMMER - Lieferantenportal?</w:t>
      </w:r>
      <w:bookmarkEnd w:id="19"/>
    </w:p>
    <w:p w14:paraId="27160D10" w14:textId="77777777" w:rsidR="00486378" w:rsidRPr="00486378" w:rsidRDefault="00486378" w:rsidP="006F12E4">
      <w:pPr>
        <w:pStyle w:val="BodyText"/>
        <w:rPr>
          <w:lang w:eastAsia="de-DE"/>
        </w:rPr>
      </w:pPr>
      <w:r w:rsidRPr="00486378">
        <w:rPr>
          <w:lang w:eastAsia="de-DE"/>
        </w:rPr>
        <w:t>Das GRAMMER - Lieferantenportal bietet GRAMMER und den Lieferanten die Möglichkeit, Informationen auf einfachem Wege, schnell auszutauschen.</w:t>
      </w:r>
    </w:p>
    <w:p w14:paraId="13FFDD75" w14:textId="77777777" w:rsidR="00486378" w:rsidRPr="00486378" w:rsidRDefault="00486378" w:rsidP="006F12E4">
      <w:pPr>
        <w:pStyle w:val="BodyText"/>
        <w:rPr>
          <w:lang w:eastAsia="de-DE"/>
        </w:rPr>
      </w:pPr>
      <w:r w:rsidRPr="00486378">
        <w:rPr>
          <w:lang w:eastAsia="de-DE"/>
        </w:rPr>
        <w:t>Vor allem bei Lieferanten, die derzeit nicht über die gängige EDI - Ausstattung verfügen und deshalb Abrufdaten nicht verarbeiten können, oder geforderte EDI - Nachrichten (wie z.B. Lieferschein - DFÜ) nicht liefern können, ist das GRAMMER - Lieferantenportal gedacht.</w:t>
      </w:r>
    </w:p>
    <w:p w14:paraId="59DF7F49" w14:textId="77777777" w:rsidR="00486378" w:rsidRPr="00486378" w:rsidRDefault="00486378" w:rsidP="006F12E4">
      <w:pPr>
        <w:pStyle w:val="BodyText"/>
        <w:rPr>
          <w:lang w:eastAsia="de-DE"/>
        </w:rPr>
      </w:pPr>
      <w:r w:rsidRPr="00486378">
        <w:rPr>
          <w:lang w:eastAsia="de-DE"/>
        </w:rPr>
        <w:t xml:space="preserve">GRAMMER will auf diesem Wege dieses informations-technologische Problem beheben und somit GRAMMER, aber auch dem Lieferanten, die Möglichkeit bieten, alle geforderten Informationen zeitnah und in international einheitlicher Form bereitzustellen. </w:t>
      </w:r>
    </w:p>
    <w:p w14:paraId="6E22ECAF" w14:textId="77777777" w:rsidR="00486378" w:rsidRPr="00486378" w:rsidRDefault="00486378" w:rsidP="006F12E4">
      <w:pPr>
        <w:pStyle w:val="BodyText"/>
        <w:rPr>
          <w:lang w:eastAsia="de-DE"/>
        </w:rPr>
      </w:pPr>
    </w:p>
    <w:p w14:paraId="4CDED542" w14:textId="77777777" w:rsidR="00486378" w:rsidRPr="00486378" w:rsidRDefault="00484454" w:rsidP="006F12E4">
      <w:pPr>
        <w:pStyle w:val="b4"/>
        <w:rPr>
          <w:lang w:eastAsia="de-DE"/>
        </w:rPr>
      </w:pPr>
      <w:bookmarkStart w:id="20" w:name="_Toc179342298"/>
      <w:r>
        <w:rPr>
          <w:lang w:eastAsia="de-DE"/>
        </w:rPr>
        <w:br w:type="page"/>
      </w:r>
      <w:r w:rsidR="00486378" w:rsidRPr="00486378">
        <w:rPr>
          <w:lang w:eastAsia="de-DE"/>
        </w:rPr>
        <w:t>Technische Voraussetzungen</w:t>
      </w:r>
      <w:bookmarkEnd w:id="20"/>
    </w:p>
    <w:p w14:paraId="1BA81D2B" w14:textId="77777777" w:rsidR="00486378" w:rsidRPr="00486378" w:rsidRDefault="00486378" w:rsidP="006F12E4">
      <w:pPr>
        <w:pStyle w:val="BodyText"/>
        <w:rPr>
          <w:lang w:eastAsia="de-DE"/>
        </w:rPr>
      </w:pPr>
      <w:r w:rsidRPr="00486378">
        <w:rPr>
          <w:lang w:eastAsia="de-DE"/>
        </w:rPr>
        <w:t>Um mit dem GRAMMER - Lieferantenportal arbeiten zu können benötigt der Lieferant folgende Ausstattung:</w:t>
      </w:r>
    </w:p>
    <w:p w14:paraId="1B73CC72" w14:textId="77777777" w:rsidR="00486378" w:rsidRPr="00486378" w:rsidRDefault="00486378" w:rsidP="006F12E4">
      <w:pPr>
        <w:pStyle w:val="Textkrper-Aufzhlung"/>
      </w:pPr>
      <w:r w:rsidRPr="00486378">
        <w:t>Aktueller Internet - Browser</w:t>
      </w:r>
    </w:p>
    <w:p w14:paraId="4476F260" w14:textId="77777777" w:rsidR="00486378" w:rsidRPr="00486378" w:rsidRDefault="00486378" w:rsidP="006F12E4">
      <w:pPr>
        <w:pStyle w:val="Textkrper-Aufzhlung"/>
      </w:pPr>
      <w:r w:rsidRPr="00486378">
        <w:t>Internetzugang</w:t>
      </w:r>
    </w:p>
    <w:p w14:paraId="223D3939" w14:textId="77777777" w:rsidR="00AC6BB7" w:rsidRDefault="00486378" w:rsidP="006F12E4">
      <w:pPr>
        <w:pStyle w:val="Textkrper-Aufzhlung"/>
      </w:pPr>
      <w:r w:rsidRPr="00486378">
        <w:t>Adobe Acrobat Reader</w:t>
      </w:r>
    </w:p>
    <w:p w14:paraId="21C90C36" w14:textId="77777777" w:rsidR="00484454" w:rsidRDefault="00484454" w:rsidP="00484454">
      <w:pPr>
        <w:pStyle w:val="Textkrper-Aufzhlung"/>
        <w:numPr>
          <w:ilvl w:val="0"/>
          <w:numId w:val="0"/>
        </w:numPr>
        <w:ind w:left="357" w:hanging="357"/>
      </w:pPr>
    </w:p>
    <w:p w14:paraId="38E6388D" w14:textId="77777777" w:rsidR="00484454" w:rsidRDefault="00484454" w:rsidP="00484454">
      <w:pPr>
        <w:pStyle w:val="Textkrper-Aufzhlung"/>
        <w:numPr>
          <w:ilvl w:val="0"/>
          <w:numId w:val="0"/>
        </w:numPr>
        <w:ind w:left="357" w:hanging="357"/>
      </w:pPr>
    </w:p>
    <w:p w14:paraId="73145741" w14:textId="77777777" w:rsidR="00484454" w:rsidRDefault="00484454" w:rsidP="00484454">
      <w:pPr>
        <w:pStyle w:val="Textkrper-Aufzhlung"/>
        <w:numPr>
          <w:ilvl w:val="0"/>
          <w:numId w:val="0"/>
        </w:numPr>
        <w:ind w:left="357" w:hanging="357"/>
      </w:pPr>
    </w:p>
    <w:p w14:paraId="6E64573D" w14:textId="77777777" w:rsidR="00486378" w:rsidRPr="00486378" w:rsidRDefault="00486378" w:rsidP="006F12E4">
      <w:pPr>
        <w:pStyle w:val="b4"/>
        <w:rPr>
          <w:lang w:eastAsia="de-DE"/>
        </w:rPr>
      </w:pPr>
      <w:bookmarkStart w:id="21" w:name="_Toc179342300"/>
      <w:r w:rsidRPr="00486378">
        <w:rPr>
          <w:lang w:eastAsia="de-DE"/>
        </w:rPr>
        <w:t>Portal - User und Anmeldung</w:t>
      </w:r>
      <w:bookmarkEnd w:id="21"/>
    </w:p>
    <w:p w14:paraId="1A73BE77" w14:textId="6AAA9749" w:rsidR="00486378" w:rsidRDefault="00486378" w:rsidP="006F12E4">
      <w:pPr>
        <w:pStyle w:val="BodyText"/>
        <w:rPr>
          <w:lang w:eastAsia="de-DE"/>
        </w:rPr>
      </w:pPr>
      <w:r w:rsidRPr="00486378">
        <w:rPr>
          <w:lang w:eastAsia="de-DE"/>
        </w:rPr>
        <w:t>Für die Anmeldung im GRAMMER - Lieferantenportal benötigen Sie einen "Portaluser" und ein Passwort. Der Username wird Ihnen über den zuständigen Sachbearbei</w:t>
      </w:r>
      <w:r w:rsidR="00A94E45">
        <w:rPr>
          <w:lang w:eastAsia="de-DE"/>
        </w:rPr>
        <w:t xml:space="preserve">ter im Fachbereich Logistik, Herrn </w:t>
      </w:r>
      <w:r w:rsidR="00C91755">
        <w:rPr>
          <w:lang w:eastAsia="de-DE"/>
        </w:rPr>
        <w:t>Petr Micka</w:t>
      </w:r>
      <w:r w:rsidR="00A94E45">
        <w:rPr>
          <w:lang w:eastAsia="de-DE"/>
        </w:rPr>
        <w:t xml:space="preserve"> zugewiesen (Mail: </w:t>
      </w:r>
      <w:r w:rsidR="00C91755" w:rsidRPr="00A16B1A">
        <w:rPr>
          <w:lang w:eastAsia="de-DE"/>
        </w:rPr>
        <w:t>petr.mick@grammer.com</w:t>
      </w:r>
      <w:r w:rsidRPr="00486378">
        <w:rPr>
          <w:lang w:eastAsia="de-DE"/>
        </w:rPr>
        <w:t>).</w:t>
      </w:r>
    </w:p>
    <w:p w14:paraId="655EA615" w14:textId="77777777" w:rsidR="00A94E45" w:rsidRPr="00486378" w:rsidRDefault="00A94E45" w:rsidP="006F12E4">
      <w:pPr>
        <w:pStyle w:val="BodyText"/>
        <w:rPr>
          <w:lang w:eastAsia="de-DE"/>
        </w:rPr>
      </w:pPr>
    </w:p>
    <w:p w14:paraId="7B165F13" w14:textId="77777777" w:rsidR="00486378" w:rsidRPr="00486378" w:rsidRDefault="00486378" w:rsidP="006F12E4">
      <w:pPr>
        <w:pStyle w:val="BodyText"/>
        <w:rPr>
          <w:lang w:eastAsia="de-DE"/>
        </w:rPr>
      </w:pPr>
      <w:r w:rsidRPr="00486378">
        <w:rPr>
          <w:lang w:eastAsia="de-DE"/>
        </w:rPr>
        <w:t>Der Zugriff auf das GRAMMER - Lieferantenportal erfolgt unter folgendem Link:</w:t>
      </w:r>
    </w:p>
    <w:p w14:paraId="244A47E0" w14:textId="77777777" w:rsidR="00486378" w:rsidRDefault="00486378" w:rsidP="00484454">
      <w:pPr>
        <w:pStyle w:val="BodyText"/>
        <w:rPr>
          <w:i/>
          <w:lang w:eastAsia="de-DE"/>
        </w:rPr>
      </w:pPr>
    </w:p>
    <w:p w14:paraId="2B1AFE77" w14:textId="0C000CC0" w:rsidR="004507F7" w:rsidRPr="001D5BC8" w:rsidRDefault="00C91755" w:rsidP="00484454">
      <w:pPr>
        <w:pStyle w:val="BodyText"/>
      </w:pPr>
      <w:r w:rsidRPr="00C91755">
        <w:rPr>
          <w:i/>
          <w:lang w:eastAsia="de-DE"/>
        </w:rPr>
        <w:t>https://www.grammer.com/supplier-support/logisitcs/</w:t>
      </w:r>
    </w:p>
    <w:p w14:paraId="45A0F345" w14:textId="77777777" w:rsidR="00484454" w:rsidRDefault="00484454" w:rsidP="00484454">
      <w:pPr>
        <w:pStyle w:val="BodyText"/>
        <w:rPr>
          <w:lang w:eastAsia="de-DE"/>
        </w:rPr>
      </w:pPr>
    </w:p>
    <w:p w14:paraId="4AA18850" w14:textId="77777777" w:rsidR="00484454" w:rsidRPr="00486378" w:rsidRDefault="00484454" w:rsidP="00484454">
      <w:pPr>
        <w:pStyle w:val="BodyText"/>
        <w:rPr>
          <w:lang w:eastAsia="de-DE"/>
        </w:rPr>
      </w:pPr>
    </w:p>
    <w:p w14:paraId="31F754A2" w14:textId="77777777" w:rsidR="00486378" w:rsidRPr="00486378" w:rsidRDefault="00486378" w:rsidP="006F12E4">
      <w:pPr>
        <w:pStyle w:val="b4"/>
        <w:rPr>
          <w:lang w:eastAsia="de-DE"/>
        </w:rPr>
      </w:pPr>
      <w:bookmarkStart w:id="22" w:name="_Toc179342301"/>
      <w:r w:rsidRPr="00486378">
        <w:rPr>
          <w:lang w:eastAsia="de-DE"/>
        </w:rPr>
        <w:t>Weitergehende Informationen</w:t>
      </w:r>
      <w:bookmarkEnd w:id="22"/>
    </w:p>
    <w:p w14:paraId="78769015" w14:textId="16068C2C" w:rsidR="00486378" w:rsidRDefault="00486378" w:rsidP="006F12E4">
      <w:pPr>
        <w:pStyle w:val="BodyText"/>
        <w:rPr>
          <w:lang w:eastAsia="de-DE"/>
        </w:rPr>
      </w:pPr>
      <w:r w:rsidRPr="00486378">
        <w:rPr>
          <w:lang w:eastAsia="de-DE"/>
        </w:rPr>
        <w:t xml:space="preserve">Weitergehende Informationen zum GRAMMER - Lieferantenportal erhalten Sie </w:t>
      </w:r>
      <w:r w:rsidR="00C91755">
        <w:rPr>
          <w:lang w:eastAsia="de-DE"/>
        </w:rPr>
        <w:t>auf Nachfrage beim zuständigen Sachbearbeiter (s.o.).</w:t>
      </w:r>
    </w:p>
    <w:p w14:paraId="77826F89" w14:textId="77777777" w:rsidR="00484454" w:rsidRDefault="00484454" w:rsidP="006F12E4">
      <w:pPr>
        <w:pStyle w:val="BodyText"/>
        <w:rPr>
          <w:lang w:eastAsia="de-DE"/>
        </w:rPr>
      </w:pPr>
    </w:p>
    <w:p w14:paraId="61FDC8FD" w14:textId="77777777" w:rsidR="00484454" w:rsidRDefault="00484454" w:rsidP="006F12E4">
      <w:pPr>
        <w:pStyle w:val="BodyText"/>
        <w:rPr>
          <w:lang w:eastAsia="de-DE"/>
        </w:rPr>
      </w:pPr>
    </w:p>
    <w:p w14:paraId="6014733E" w14:textId="77777777" w:rsidR="00484454" w:rsidRPr="00486378" w:rsidRDefault="00484454" w:rsidP="006F12E4">
      <w:pPr>
        <w:pStyle w:val="BodyText"/>
        <w:rPr>
          <w:lang w:eastAsia="de-DE"/>
        </w:rPr>
      </w:pPr>
    </w:p>
    <w:p w14:paraId="0B95E97E" w14:textId="77777777" w:rsidR="00486378" w:rsidRPr="00486378" w:rsidRDefault="00486378" w:rsidP="006F12E4">
      <w:pPr>
        <w:pStyle w:val="b3"/>
        <w:rPr>
          <w:lang w:eastAsia="de-DE"/>
        </w:rPr>
      </w:pPr>
      <w:bookmarkStart w:id="23" w:name="_Toc179342302"/>
      <w:r w:rsidRPr="00486378">
        <w:rPr>
          <w:lang w:eastAsia="de-DE"/>
        </w:rPr>
        <w:t>EDI</w:t>
      </w:r>
      <w:bookmarkEnd w:id="23"/>
    </w:p>
    <w:p w14:paraId="112B43B1" w14:textId="77777777" w:rsidR="00486378" w:rsidRPr="00486378" w:rsidRDefault="00486378" w:rsidP="006F12E4">
      <w:pPr>
        <w:pStyle w:val="b4"/>
        <w:rPr>
          <w:lang w:eastAsia="de-DE"/>
        </w:rPr>
      </w:pPr>
      <w:bookmarkStart w:id="24" w:name="_Toc179342303"/>
      <w:r w:rsidRPr="00486378">
        <w:rPr>
          <w:lang w:eastAsia="de-DE"/>
        </w:rPr>
        <w:t>Was ist EDI?</w:t>
      </w:r>
      <w:bookmarkEnd w:id="24"/>
    </w:p>
    <w:p w14:paraId="43D0AAA0" w14:textId="77777777" w:rsidR="00486378" w:rsidRPr="00486378" w:rsidRDefault="00486378" w:rsidP="00484454">
      <w:pPr>
        <w:pStyle w:val="BodyText"/>
        <w:rPr>
          <w:lang w:eastAsia="de-DE"/>
        </w:rPr>
      </w:pPr>
      <w:r w:rsidRPr="00486378">
        <w:rPr>
          <w:lang w:eastAsia="de-DE"/>
        </w:rPr>
        <w:t>EDI (Electronic Data Interchange) ist der elektronische Datenaustausch strukturierter Geschäftsdaten zwischen Geschäftspartnern mittels standardisierter Datenformate.</w:t>
      </w:r>
    </w:p>
    <w:p w14:paraId="372EA759" w14:textId="77777777" w:rsidR="00486378" w:rsidRPr="00486378" w:rsidRDefault="00486378" w:rsidP="00484454">
      <w:pPr>
        <w:pStyle w:val="BodyText"/>
        <w:rPr>
          <w:lang w:eastAsia="de-DE"/>
        </w:rPr>
      </w:pPr>
      <w:r w:rsidRPr="00486378">
        <w:rPr>
          <w:lang w:eastAsia="de-DE"/>
        </w:rPr>
        <w:t>GRAMMER erwartet von seinen Lieferanten das Erfüllen der gängigen EDI - Standards.</w:t>
      </w:r>
    </w:p>
    <w:p w14:paraId="13D6D867" w14:textId="77777777" w:rsidR="00486378" w:rsidRDefault="00486378" w:rsidP="00484454">
      <w:pPr>
        <w:pStyle w:val="BodyText"/>
        <w:rPr>
          <w:rFonts w:eastAsia="Times New Roman"/>
          <w:highlight w:val="yellow"/>
          <w:lang w:eastAsia="de-DE"/>
        </w:rPr>
      </w:pPr>
    </w:p>
    <w:p w14:paraId="34389D71" w14:textId="77777777" w:rsidR="00484454" w:rsidRDefault="00484454" w:rsidP="00484454">
      <w:pPr>
        <w:pStyle w:val="BodyText"/>
        <w:rPr>
          <w:rFonts w:eastAsia="Times New Roman"/>
          <w:highlight w:val="yellow"/>
          <w:lang w:eastAsia="de-DE"/>
        </w:rPr>
      </w:pPr>
    </w:p>
    <w:p w14:paraId="7AFCD077" w14:textId="77777777" w:rsidR="00484454" w:rsidRPr="00486378" w:rsidRDefault="00484454" w:rsidP="00484454">
      <w:pPr>
        <w:pStyle w:val="BodyText"/>
        <w:rPr>
          <w:rFonts w:eastAsia="Times New Roman"/>
          <w:highlight w:val="yellow"/>
          <w:lang w:eastAsia="de-DE"/>
        </w:rPr>
      </w:pPr>
    </w:p>
    <w:p w14:paraId="4FD64BF5" w14:textId="77777777" w:rsidR="00486378" w:rsidRPr="00486378" w:rsidRDefault="00486378" w:rsidP="007C7C16">
      <w:pPr>
        <w:pStyle w:val="b4"/>
        <w:rPr>
          <w:lang w:eastAsia="de-DE"/>
        </w:rPr>
      </w:pPr>
      <w:bookmarkStart w:id="25" w:name="_Toc179342304"/>
      <w:r w:rsidRPr="00486378">
        <w:rPr>
          <w:lang w:eastAsia="de-DE"/>
        </w:rPr>
        <w:t>Welche Message - Standards werden bei GRAMMER verarbeitet?</w:t>
      </w:r>
      <w:bookmarkEnd w:id="25"/>
    </w:p>
    <w:p w14:paraId="6B2CD10A" w14:textId="77777777" w:rsidR="00486378" w:rsidRDefault="00AC6BB7" w:rsidP="00484454">
      <w:pPr>
        <w:pStyle w:val="BodyText"/>
      </w:pPr>
      <w:r w:rsidRPr="00484454">
        <w:t>GRAMMER</w:t>
      </w:r>
      <w:r w:rsidR="00486378" w:rsidRPr="00484454">
        <w:t xml:space="preserve"> ist fähig, alle gängigen EDI - Formate (VDA, </w:t>
      </w:r>
      <w:proofErr w:type="spellStart"/>
      <w:r w:rsidR="00486378" w:rsidRPr="00484454">
        <w:t>Edifact</w:t>
      </w:r>
      <w:proofErr w:type="spellEnd"/>
      <w:r w:rsidR="00486378" w:rsidRPr="00484454">
        <w:t>, Odette, ANSI) zu verarbeiten. Bevorzugt werden allerdings zur Abrufübertragung und zum Empfang von Liefer</w:t>
      </w:r>
      <w:r w:rsidR="006F12E4" w:rsidRPr="00484454">
        <w:t>schein - DFÜ die VDA – Formate.</w:t>
      </w:r>
    </w:p>
    <w:p w14:paraId="315C6113" w14:textId="77777777" w:rsidR="00484454" w:rsidRDefault="00484454" w:rsidP="00484454">
      <w:pPr>
        <w:pStyle w:val="BodyText"/>
      </w:pPr>
    </w:p>
    <w:p w14:paraId="4004D3DE" w14:textId="77777777" w:rsidR="00484454" w:rsidRDefault="00484454" w:rsidP="00484454">
      <w:pPr>
        <w:pStyle w:val="BodyText"/>
      </w:pPr>
    </w:p>
    <w:p w14:paraId="1440CDCF" w14:textId="77777777" w:rsidR="00484454" w:rsidRPr="00484454" w:rsidRDefault="00484454" w:rsidP="00484454">
      <w:pPr>
        <w:pStyle w:val="BodyText"/>
      </w:pPr>
    </w:p>
    <w:p w14:paraId="15242FBB" w14:textId="77777777" w:rsidR="00486378" w:rsidRPr="00486378" w:rsidRDefault="00484454" w:rsidP="007C7C16">
      <w:pPr>
        <w:pStyle w:val="b4"/>
        <w:rPr>
          <w:lang w:eastAsia="de-DE"/>
        </w:rPr>
      </w:pPr>
      <w:bookmarkStart w:id="26" w:name="_Toc179342305"/>
      <w:r>
        <w:rPr>
          <w:lang w:eastAsia="de-DE"/>
        </w:rPr>
        <w:br w:type="page"/>
      </w:r>
      <w:r w:rsidR="00486378" w:rsidRPr="00486378">
        <w:rPr>
          <w:lang w:eastAsia="de-DE"/>
        </w:rPr>
        <w:t>Ansprechpartner</w:t>
      </w:r>
      <w:bookmarkEnd w:id="26"/>
    </w:p>
    <w:p w14:paraId="2847CEE2" w14:textId="77777777" w:rsidR="00A94E45" w:rsidRDefault="00486378" w:rsidP="00484454">
      <w:pPr>
        <w:pStyle w:val="BodyText"/>
      </w:pPr>
      <w:r w:rsidRPr="00484454">
        <w:t xml:space="preserve">Bei Rückfragen zum Thema "Lieferantenanbindung" mit EDI können Sie sich jederzeit an unseren Ansprechpartner aus dem Bereich –Group </w:t>
      </w:r>
      <w:proofErr w:type="spellStart"/>
      <w:r w:rsidRPr="00484454">
        <w:t>Logistics</w:t>
      </w:r>
      <w:proofErr w:type="spellEnd"/>
      <w:r w:rsidRPr="00484454">
        <w:t xml:space="preserve"> / SAP – </w:t>
      </w:r>
      <w:proofErr w:type="spellStart"/>
      <w:r w:rsidR="00A94E45">
        <w:t>Process</w:t>
      </w:r>
      <w:proofErr w:type="spellEnd"/>
      <w:r w:rsidR="00A94E45">
        <w:t xml:space="preserve"> – Management, </w:t>
      </w:r>
    </w:p>
    <w:p w14:paraId="65D8858C" w14:textId="238C2021" w:rsidR="007C7C16" w:rsidRPr="00484454" w:rsidRDefault="00A94E45" w:rsidP="00484454">
      <w:pPr>
        <w:pStyle w:val="BodyText"/>
      </w:pPr>
      <w:r>
        <w:t xml:space="preserve">Herrn </w:t>
      </w:r>
      <w:r w:rsidR="00C91755">
        <w:t>Petr Micka</w:t>
      </w:r>
      <w:r>
        <w:t xml:space="preserve"> (M</w:t>
      </w:r>
      <w:bookmarkStart w:id="27" w:name="_Toc179342306"/>
      <w:r>
        <w:t xml:space="preserve">ail: </w:t>
      </w:r>
      <w:r w:rsidR="00C91755">
        <w:t>petr.micka</w:t>
      </w:r>
      <w:r w:rsidR="007C7C16" w:rsidRPr="00484454">
        <w:t>@grammer.com) wenden.</w:t>
      </w:r>
    </w:p>
    <w:p w14:paraId="3E8836B5" w14:textId="77777777" w:rsidR="007C7C16" w:rsidRDefault="007C7C16" w:rsidP="00484454">
      <w:pPr>
        <w:pStyle w:val="BodyText"/>
      </w:pPr>
    </w:p>
    <w:p w14:paraId="0AA79859" w14:textId="77777777" w:rsidR="00484454" w:rsidRDefault="00484454" w:rsidP="00484454">
      <w:pPr>
        <w:pStyle w:val="BodyText"/>
      </w:pPr>
    </w:p>
    <w:p w14:paraId="5A8C3299" w14:textId="2948A961" w:rsidR="00484454" w:rsidRPr="00484454" w:rsidRDefault="00484454" w:rsidP="00484454">
      <w:pPr>
        <w:pStyle w:val="BodyText"/>
      </w:pPr>
    </w:p>
    <w:bookmarkEnd w:id="27"/>
    <w:p w14:paraId="026DA37C" w14:textId="77777777" w:rsidR="00486378" w:rsidRDefault="00486378" w:rsidP="006F12E4">
      <w:pPr>
        <w:pStyle w:val="BodyText"/>
        <w:rPr>
          <w:lang w:eastAsia="de-DE"/>
        </w:rPr>
      </w:pPr>
    </w:p>
    <w:p w14:paraId="432589CA" w14:textId="77777777" w:rsidR="00484454" w:rsidRPr="00486378" w:rsidRDefault="00484454" w:rsidP="006F12E4">
      <w:pPr>
        <w:pStyle w:val="BodyText"/>
        <w:rPr>
          <w:lang w:eastAsia="de-DE"/>
        </w:rPr>
      </w:pPr>
    </w:p>
    <w:p w14:paraId="1223D7A4" w14:textId="77777777" w:rsidR="00486378" w:rsidRPr="00486378" w:rsidRDefault="00484454" w:rsidP="006F12E4">
      <w:pPr>
        <w:pStyle w:val="b1"/>
        <w:rPr>
          <w:lang w:eastAsia="de-DE"/>
        </w:rPr>
      </w:pPr>
      <w:bookmarkStart w:id="28" w:name="_Toc179342307"/>
      <w:bookmarkStart w:id="29" w:name="Transport"/>
      <w:r>
        <w:rPr>
          <w:lang w:eastAsia="de-DE"/>
        </w:rPr>
        <w:br w:type="page"/>
      </w:r>
      <w:bookmarkStart w:id="30" w:name="_Toc188346299"/>
      <w:r w:rsidR="00486378" w:rsidRPr="00486378">
        <w:rPr>
          <w:lang w:eastAsia="de-DE"/>
        </w:rPr>
        <w:t>Transport</w:t>
      </w:r>
      <w:bookmarkEnd w:id="28"/>
      <w:bookmarkEnd w:id="30"/>
    </w:p>
    <w:p w14:paraId="04145D1D" w14:textId="77777777" w:rsidR="00486378" w:rsidRPr="00486378" w:rsidRDefault="00486378" w:rsidP="00EA0EC7">
      <w:pPr>
        <w:pStyle w:val="b2"/>
        <w:rPr>
          <w:lang w:eastAsia="de-DE"/>
        </w:rPr>
      </w:pPr>
      <w:bookmarkStart w:id="31" w:name="Transportabwicklung"/>
      <w:bookmarkStart w:id="32" w:name="_Toc179342308"/>
      <w:bookmarkStart w:id="33" w:name="_Toc188346300"/>
      <w:bookmarkEnd w:id="29"/>
      <w:r w:rsidRPr="00486378">
        <w:rPr>
          <w:lang w:eastAsia="de-DE"/>
        </w:rPr>
        <w:t>Transportabwicklung</w:t>
      </w:r>
      <w:bookmarkEnd w:id="31"/>
      <w:bookmarkEnd w:id="32"/>
      <w:bookmarkEnd w:id="33"/>
    </w:p>
    <w:p w14:paraId="1C44CD4C" w14:textId="26FA3381" w:rsidR="00486378" w:rsidRPr="00484454" w:rsidRDefault="00486378" w:rsidP="00484454">
      <w:pPr>
        <w:pStyle w:val="BodyText"/>
      </w:pPr>
      <w:bookmarkStart w:id="34" w:name="Anmeldung"/>
      <w:r w:rsidRPr="00484454">
        <w:t>Sofern nicht abweichend vereinbart, werden alle Angebote und Verträge seitens der Lieferanten gemäß den Lieferbedingungen „FCA“ bzw. „</w:t>
      </w:r>
      <w:r w:rsidR="00C91755">
        <w:t>DAP/DDP</w:t>
      </w:r>
      <w:r w:rsidRPr="00484454">
        <w:t xml:space="preserve">“ (gemäß </w:t>
      </w:r>
      <w:proofErr w:type="spellStart"/>
      <w:r w:rsidRPr="00484454">
        <w:t>Incoterms</w:t>
      </w:r>
      <w:proofErr w:type="spellEnd"/>
      <w:r w:rsidRPr="00484454">
        <w:t xml:space="preserve"> 20</w:t>
      </w:r>
      <w:r w:rsidR="00C91755">
        <w:t>2</w:t>
      </w:r>
      <w:r w:rsidRPr="00484454">
        <w:t>0) erstellt bzw. abgeschlossen.</w:t>
      </w:r>
    </w:p>
    <w:p w14:paraId="16849316" w14:textId="77777777" w:rsidR="00486378" w:rsidRPr="00484454" w:rsidRDefault="00486378" w:rsidP="00484454">
      <w:pPr>
        <w:pStyle w:val="BodyText"/>
      </w:pPr>
    </w:p>
    <w:p w14:paraId="770B687D" w14:textId="65C63440" w:rsidR="00486378" w:rsidRPr="00484454" w:rsidRDefault="00486378" w:rsidP="00484454">
      <w:pPr>
        <w:pStyle w:val="BodyText"/>
      </w:pPr>
      <w:r w:rsidRPr="00484454">
        <w:t xml:space="preserve">Der Lieferant darf seine Lieferungen bei vereinbarten Abholklauseln nach </w:t>
      </w:r>
      <w:proofErr w:type="spellStart"/>
      <w:r w:rsidRPr="00484454">
        <w:t>Incoterms</w:t>
      </w:r>
      <w:proofErr w:type="spellEnd"/>
      <w:r w:rsidRPr="00484454">
        <w:t xml:space="preserve"> 20</w:t>
      </w:r>
      <w:r w:rsidR="006C5BB0">
        <w:t>2</w:t>
      </w:r>
      <w:r w:rsidRPr="00484454">
        <w:t xml:space="preserve">0 (z.B. FCA) nur dem von GRAMMER beauftragten Spediteur übergeben. Der von </w:t>
      </w:r>
      <w:r w:rsidR="00AC6BB7" w:rsidRPr="00484454">
        <w:t>GRAMMER</w:t>
      </w:r>
      <w:r w:rsidRPr="00484454">
        <w:t xml:space="preserve"> nominierte Spediteur ist vom Lieferanten vor der ersten Lieferung bei GRAMMER (Besteller der Ware) zu erfragen. Der von GRAMMER nominierte Spediteur ist zwingend einzusetzen. </w:t>
      </w:r>
    </w:p>
    <w:p w14:paraId="0BB477C7" w14:textId="77777777" w:rsidR="00486378" w:rsidRPr="00484454" w:rsidRDefault="00486378" w:rsidP="00484454">
      <w:pPr>
        <w:pStyle w:val="BodyText"/>
      </w:pPr>
    </w:p>
    <w:p w14:paraId="2563C438" w14:textId="77777777" w:rsidR="00486378" w:rsidRPr="00484454" w:rsidRDefault="00486378" w:rsidP="00484454">
      <w:pPr>
        <w:pStyle w:val="BodyText"/>
      </w:pPr>
      <w:r w:rsidRPr="00484454">
        <w:t>Ist der benannte Lieferort mit dem Produktionswerk des Lieferanten nicht identisch, ist der Lieferant für die Organisation und den Transport bis zum vereinbarten Übergabeort verantwortlich.</w:t>
      </w:r>
    </w:p>
    <w:p w14:paraId="7F6B5149" w14:textId="77777777" w:rsidR="00486378" w:rsidRPr="00484454" w:rsidRDefault="00486378" w:rsidP="00484454">
      <w:pPr>
        <w:pStyle w:val="BodyText"/>
      </w:pPr>
    </w:p>
    <w:p w14:paraId="531A5F85" w14:textId="77777777" w:rsidR="00486378" w:rsidRDefault="00486378" w:rsidP="00484454">
      <w:pPr>
        <w:pStyle w:val="BodyText"/>
      </w:pPr>
      <w:r w:rsidRPr="00484454">
        <w:t xml:space="preserve">Der Lieferant ist zu Teillieferungen von Lieferabrufen nur dann berechtigt, wenn er hierzu die ausdrückliche schriftliche Genehmigung von GRAMMER besitzt. Bei Nichteinhaltung dieser Verpflichtung trägt der Lieferant alle preislichen und materiellen Risiken, insbesondere die entstehenden Mehrkosten. Die logistischen Kosten im Zusammenhang mit der Einlagerung, Rücksendung von </w:t>
      </w:r>
      <w:r w:rsidR="00AC6BB7" w:rsidRPr="00484454">
        <w:t>zu viel</w:t>
      </w:r>
      <w:r w:rsidRPr="00484454">
        <w:t xml:space="preserve"> gelieferter Ware bzw. nicht genehmigter Vorablieferung gehen zu Lasten des Lieferanten. In Engpasssituationen werden die Kosten vom Verursacher getragen.</w:t>
      </w:r>
    </w:p>
    <w:p w14:paraId="35CF50DA" w14:textId="77777777" w:rsidR="00484454" w:rsidRDefault="00484454" w:rsidP="00484454">
      <w:pPr>
        <w:pStyle w:val="BodyText"/>
      </w:pPr>
    </w:p>
    <w:p w14:paraId="6D5D855F" w14:textId="77777777" w:rsidR="00484454" w:rsidRDefault="00484454" w:rsidP="00484454">
      <w:pPr>
        <w:pStyle w:val="BodyText"/>
      </w:pPr>
    </w:p>
    <w:p w14:paraId="37D286F9" w14:textId="77777777" w:rsidR="00484454" w:rsidRPr="00484454" w:rsidRDefault="00484454" w:rsidP="00484454">
      <w:pPr>
        <w:pStyle w:val="BodyText"/>
      </w:pPr>
    </w:p>
    <w:p w14:paraId="2290C2DE" w14:textId="77777777" w:rsidR="00486378" w:rsidRPr="00486378" w:rsidRDefault="00486378" w:rsidP="00A008FA">
      <w:pPr>
        <w:pStyle w:val="b3"/>
        <w:rPr>
          <w:lang w:eastAsia="de-DE"/>
        </w:rPr>
      </w:pPr>
      <w:bookmarkStart w:id="35" w:name="_Toc179342309"/>
      <w:r w:rsidRPr="00486378">
        <w:rPr>
          <w:lang w:eastAsia="de-DE"/>
        </w:rPr>
        <w:t>Anmeldung</w:t>
      </w:r>
      <w:bookmarkEnd w:id="34"/>
      <w:r w:rsidRPr="00486378">
        <w:rPr>
          <w:lang w:eastAsia="de-DE"/>
        </w:rPr>
        <w:t xml:space="preserve"> (Avisierung) und Verladung beim Lieferanten</w:t>
      </w:r>
      <w:bookmarkEnd w:id="35"/>
    </w:p>
    <w:p w14:paraId="26909245" w14:textId="77777777" w:rsidR="00486378" w:rsidRPr="00486378" w:rsidRDefault="00486378" w:rsidP="00EA0EC7">
      <w:pPr>
        <w:pStyle w:val="BodyText"/>
        <w:rPr>
          <w:lang w:eastAsia="de-DE"/>
        </w:rPr>
      </w:pPr>
      <w:r w:rsidRPr="00486378">
        <w:rPr>
          <w:lang w:eastAsia="de-DE"/>
        </w:rPr>
        <w:t>Wird der Transport von GRAMMER organisiert und bezahlt, so müssen die dem beauftragten Spediteur angemeldeten Mengen verladen werden. „Ausfallfracht“ (=bestellter Laderaum, der am Verladetag nicht benötigt wird) kann direkt durch den Spediteur zu Lasten des Lieferanten verrechnet werden.</w:t>
      </w:r>
    </w:p>
    <w:p w14:paraId="13482FD2" w14:textId="296327FD" w:rsidR="00486378" w:rsidRPr="00486378" w:rsidRDefault="00486378" w:rsidP="00EA0EC7">
      <w:pPr>
        <w:pStyle w:val="BodyText"/>
        <w:rPr>
          <w:lang w:eastAsia="de-DE"/>
        </w:rPr>
      </w:pPr>
      <w:r w:rsidRPr="00486378">
        <w:rPr>
          <w:lang w:eastAsia="de-DE"/>
        </w:rPr>
        <w:t xml:space="preserve">Die Anmeldung der Warenabholung beim Spediteur erfolgt spätestens zu der mit dem betreffenden Spediteur getroffenen Vereinbarungen. </w:t>
      </w:r>
      <w:r w:rsidR="001A307A">
        <w:rPr>
          <w:lang w:eastAsia="de-DE"/>
        </w:rPr>
        <w:t xml:space="preserve">Wie die Avisierung </w:t>
      </w:r>
      <w:r w:rsidR="00E60C54">
        <w:rPr>
          <w:lang w:eastAsia="de-DE"/>
        </w:rPr>
        <w:t xml:space="preserve">beim Spediteur zu erfolgen hat, muss in Abstimmung mit dem jeweiligen Werk </w:t>
      </w:r>
      <w:r w:rsidR="0020611B">
        <w:rPr>
          <w:lang w:eastAsia="de-DE"/>
        </w:rPr>
        <w:t>und dem Lieferanten vereinbart werden.</w:t>
      </w:r>
    </w:p>
    <w:p w14:paraId="535F3B18" w14:textId="77777777" w:rsidR="00E07ECA" w:rsidRDefault="00486378" w:rsidP="00EA0EC7">
      <w:pPr>
        <w:pStyle w:val="BodyText"/>
        <w:rPr>
          <w:lang w:eastAsia="de-DE"/>
        </w:rPr>
      </w:pPr>
      <w:r w:rsidRPr="00486378">
        <w:rPr>
          <w:lang w:eastAsia="de-DE"/>
        </w:rPr>
        <w:t>Für FCL, LCL – Sendungen (Seefrachtcontainer, Seefrachtstückgut) oder Luftfrachtsendungen gelten die von GRAMMER vorgeschriebenen und vom Spediteur angegebenen Avisierungsanweisungen (</w:t>
      </w:r>
      <w:proofErr w:type="spellStart"/>
      <w:r w:rsidRPr="00486378">
        <w:rPr>
          <w:lang w:eastAsia="de-DE"/>
        </w:rPr>
        <w:t>Bookinginfo</w:t>
      </w:r>
      <w:proofErr w:type="spellEnd"/>
      <w:r w:rsidRPr="00486378">
        <w:rPr>
          <w:lang w:eastAsia="de-DE"/>
        </w:rPr>
        <w:t xml:space="preserve"> </w:t>
      </w:r>
      <w:proofErr w:type="spellStart"/>
      <w:r w:rsidRPr="00486378">
        <w:rPr>
          <w:lang w:eastAsia="de-DE"/>
        </w:rPr>
        <w:t>ocean</w:t>
      </w:r>
      <w:proofErr w:type="spellEnd"/>
      <w:r w:rsidRPr="00486378">
        <w:rPr>
          <w:lang w:eastAsia="de-DE"/>
        </w:rPr>
        <w:t xml:space="preserve"> </w:t>
      </w:r>
      <w:proofErr w:type="spellStart"/>
      <w:r w:rsidRPr="00486378">
        <w:rPr>
          <w:lang w:eastAsia="de-DE"/>
        </w:rPr>
        <w:t>for</w:t>
      </w:r>
      <w:proofErr w:type="spellEnd"/>
      <w:r w:rsidRPr="00486378">
        <w:rPr>
          <w:lang w:eastAsia="de-DE"/>
        </w:rPr>
        <w:t xml:space="preserve"> </w:t>
      </w:r>
      <w:proofErr w:type="spellStart"/>
      <w:r w:rsidRPr="00486378">
        <w:rPr>
          <w:lang w:eastAsia="de-DE"/>
        </w:rPr>
        <w:t>shippers</w:t>
      </w:r>
      <w:proofErr w:type="spellEnd"/>
      <w:r w:rsidRPr="00486378">
        <w:rPr>
          <w:lang w:eastAsia="de-DE"/>
        </w:rPr>
        <w:t xml:space="preserve"> / Mappings).</w:t>
      </w:r>
    </w:p>
    <w:p w14:paraId="076ADD37" w14:textId="77777777" w:rsidR="00486378" w:rsidRPr="00486378" w:rsidRDefault="00486378" w:rsidP="00EA0EC7">
      <w:pPr>
        <w:pStyle w:val="BodyText"/>
        <w:rPr>
          <w:lang w:eastAsia="de-DE"/>
        </w:rPr>
      </w:pPr>
      <w:r w:rsidRPr="00486378">
        <w:rPr>
          <w:lang w:eastAsia="de-DE"/>
        </w:rPr>
        <w:t>Bei durch den Lieferanten verursachten Mehr- oder Minderlieferungen, die zu zusätzlichen Kosten führen, können diese entweder von GRAMMER oder vom Spediteur direkt in Rechnung gestellt werden.</w:t>
      </w:r>
    </w:p>
    <w:p w14:paraId="29B54420" w14:textId="77777777" w:rsidR="00486378" w:rsidRPr="00486378" w:rsidRDefault="00486378" w:rsidP="00EA0EC7">
      <w:pPr>
        <w:pStyle w:val="BodyText"/>
        <w:rPr>
          <w:lang w:eastAsia="de-DE"/>
        </w:rPr>
      </w:pPr>
      <w:r w:rsidRPr="00486378">
        <w:rPr>
          <w:lang w:eastAsia="de-DE"/>
        </w:rPr>
        <w:t xml:space="preserve">Die angemeldeten Mengen sind entsprechend dem Logistiklastenheft bzw. der Verpackungsvorschrift von GRAMMER für den Transport geeignet zu verpacken, auf geeignete Fahrzeuge zu verladen und durch den Verlader beförderungssicher zu laden, zu stauen und zu befestigen. Die Vorschriften zur ordnungsgemäßen Ladungssicherung sind zu beachten. </w:t>
      </w:r>
    </w:p>
    <w:p w14:paraId="2A033B7F" w14:textId="77777777" w:rsidR="00486378" w:rsidRDefault="00486378" w:rsidP="00EA0EC7">
      <w:pPr>
        <w:pStyle w:val="BodyText"/>
        <w:rPr>
          <w:lang w:eastAsia="de-DE"/>
        </w:rPr>
      </w:pPr>
      <w:r w:rsidRPr="00486378">
        <w:rPr>
          <w:lang w:eastAsia="de-DE"/>
        </w:rPr>
        <w:t>Die Verladung erfolgt unter Berücksichtigung von Qualitäts- und Sicherheitsaspekten. Die Waren müssen ordnungsgemäß verpackt und gestapelt sein, beschädigungsfrei ankommen und einfach entnommen werden können.</w:t>
      </w:r>
    </w:p>
    <w:p w14:paraId="590E2FA2" w14:textId="77777777" w:rsidR="00486378" w:rsidRPr="00486378" w:rsidRDefault="00486378" w:rsidP="00EA0EC7">
      <w:pPr>
        <w:pStyle w:val="BodyText"/>
        <w:rPr>
          <w:lang w:eastAsia="de-DE"/>
        </w:rPr>
      </w:pPr>
      <w:r w:rsidRPr="00EA0EC7">
        <w:rPr>
          <w:rStyle w:val="BodyTextChar"/>
          <w:lang w:eastAsia="de-DE"/>
        </w:rPr>
        <w:t xml:space="preserve">Die Ware muss termingerecht bereitgestellt bzw. geliefert werden. Zu diesem Zeitpunkt muss gleichzeitig eine Anlieferung von Leergut möglich sein. GRAMMER und Lieferant verpflichten sich, die Lkws gemäß festgelegter Lieferbedingung zügig zu </w:t>
      </w:r>
      <w:proofErr w:type="spellStart"/>
      <w:r w:rsidRPr="00EA0EC7">
        <w:rPr>
          <w:rStyle w:val="BodyTextChar"/>
          <w:lang w:eastAsia="de-DE"/>
        </w:rPr>
        <w:t>be</w:t>
      </w:r>
      <w:proofErr w:type="spellEnd"/>
      <w:r w:rsidRPr="00EA0EC7">
        <w:rPr>
          <w:rStyle w:val="BodyTextChar"/>
          <w:lang w:eastAsia="de-DE"/>
        </w:rPr>
        <w:t>- bzw. entladen. Treten Lade- und Wartezeiten ein, welche die individuell</w:t>
      </w:r>
      <w:r w:rsidRPr="00486378">
        <w:rPr>
          <w:lang w:eastAsia="de-DE"/>
        </w:rPr>
        <w:t xml:space="preserve"> geregelten Vereinbarungen </w:t>
      </w:r>
      <w:proofErr w:type="gramStart"/>
      <w:r w:rsidRPr="00486378">
        <w:rPr>
          <w:lang w:eastAsia="de-DE"/>
        </w:rPr>
        <w:t>überschreiten</w:t>
      </w:r>
      <w:proofErr w:type="gramEnd"/>
      <w:r w:rsidRPr="00486378">
        <w:rPr>
          <w:lang w:eastAsia="de-DE"/>
        </w:rPr>
        <w:t xml:space="preserve"> gehen entstehende Mehrkosten zu Lasten des Verursachers. </w:t>
      </w:r>
    </w:p>
    <w:p w14:paraId="1046320C" w14:textId="77777777" w:rsidR="00486378" w:rsidRPr="00486378" w:rsidRDefault="00486378" w:rsidP="00EA0EC7">
      <w:pPr>
        <w:pStyle w:val="BodyText"/>
        <w:rPr>
          <w:lang w:eastAsia="de-DE"/>
        </w:rPr>
      </w:pPr>
      <w:r w:rsidRPr="00486378">
        <w:rPr>
          <w:lang w:eastAsia="de-DE"/>
        </w:rPr>
        <w:t>Bei Nichteinhaltung der definierten Übernahme/Wartezeiten ist durch den Lieferanten auf Eigeninitiative und eigene Rechnung eine Sonderfahrt zu organisieren und termingerecht abzuwickeln, um Anschlusstermine bzw. Anliefertermine nicht zu gefährden.</w:t>
      </w:r>
    </w:p>
    <w:p w14:paraId="6FFAA1D1" w14:textId="77777777" w:rsidR="00486378" w:rsidRPr="00486378" w:rsidRDefault="00484454" w:rsidP="00EA0EC7">
      <w:pPr>
        <w:pStyle w:val="b2"/>
        <w:rPr>
          <w:lang w:eastAsia="de-DE"/>
        </w:rPr>
      </w:pPr>
      <w:bookmarkStart w:id="36" w:name="Sonderfrachten"/>
      <w:bookmarkStart w:id="37" w:name="_Toc179342310"/>
      <w:r>
        <w:rPr>
          <w:lang w:eastAsia="de-DE"/>
        </w:rPr>
        <w:br w:type="page"/>
      </w:r>
      <w:bookmarkStart w:id="38" w:name="_Toc188346301"/>
      <w:r w:rsidR="00486378" w:rsidRPr="00486378">
        <w:rPr>
          <w:lang w:eastAsia="de-DE"/>
        </w:rPr>
        <w:t>Sonderfrachten</w:t>
      </w:r>
      <w:bookmarkEnd w:id="36"/>
      <w:bookmarkEnd w:id="37"/>
      <w:bookmarkEnd w:id="38"/>
    </w:p>
    <w:p w14:paraId="7D1EB640" w14:textId="77777777" w:rsidR="00486378" w:rsidRPr="00486378" w:rsidRDefault="00486378" w:rsidP="00E07ECA">
      <w:pPr>
        <w:pStyle w:val="BodyText"/>
        <w:rPr>
          <w:lang w:eastAsia="de-DE"/>
        </w:rPr>
      </w:pPr>
      <w:r w:rsidRPr="00486378">
        <w:rPr>
          <w:lang w:eastAsia="de-DE"/>
        </w:rPr>
        <w:t>Notwendige Sonderfrachten sind zwischen den Beteiligten abzustimmen. Um unnötige Kosten zu vermeiden, hat eine Abstimmung über die mindestens zu versendenden Mengen zu erfolgen. Sonderfrachten, die vom Lieferanten verursacht werden, sind auch von diesem zu organisieren und zu bezahlen.</w:t>
      </w:r>
    </w:p>
    <w:p w14:paraId="1E42A1AC" w14:textId="77777777" w:rsidR="00486378" w:rsidRDefault="00486378" w:rsidP="00E07ECA">
      <w:pPr>
        <w:pStyle w:val="BodyText"/>
        <w:rPr>
          <w:lang w:eastAsia="de-DE"/>
        </w:rPr>
      </w:pPr>
      <w:r w:rsidRPr="00486378">
        <w:rPr>
          <w:lang w:eastAsia="de-DE"/>
        </w:rPr>
        <w:t xml:space="preserve">Sonderfrachten, die von GRAMMER verursacht wurden, werden auch von GRAMMER bezahlt. Der Lieferant hat hierbei einen von GRAMMER ausgewählten Dienstleister zu beauftragen. Sollte dies nicht möglich sein, so müssen die anfallenden Kosten </w:t>
      </w:r>
      <w:proofErr w:type="gramStart"/>
      <w:r w:rsidRPr="00486378">
        <w:rPr>
          <w:lang w:eastAsia="de-DE"/>
        </w:rPr>
        <w:t>zwischen Lieferant</w:t>
      </w:r>
      <w:proofErr w:type="gramEnd"/>
      <w:r w:rsidRPr="00486378">
        <w:rPr>
          <w:lang w:eastAsia="de-DE"/>
        </w:rPr>
        <w:t xml:space="preserve"> und dem betroffenen GRAMMER- Standort abgestimmt und schriftlich fixiert werden.</w:t>
      </w:r>
    </w:p>
    <w:p w14:paraId="7D411707" w14:textId="77777777" w:rsidR="00484454" w:rsidRDefault="00484454" w:rsidP="00E07ECA">
      <w:pPr>
        <w:pStyle w:val="BodyText"/>
        <w:rPr>
          <w:lang w:eastAsia="de-DE"/>
        </w:rPr>
      </w:pPr>
    </w:p>
    <w:p w14:paraId="451D55B0" w14:textId="77777777" w:rsidR="00484454" w:rsidRDefault="00484454" w:rsidP="00E07ECA">
      <w:pPr>
        <w:pStyle w:val="BodyText"/>
        <w:rPr>
          <w:lang w:eastAsia="de-DE"/>
        </w:rPr>
      </w:pPr>
    </w:p>
    <w:p w14:paraId="116D1B61" w14:textId="77777777" w:rsidR="00484454" w:rsidRPr="00486378" w:rsidRDefault="00484454" w:rsidP="00E07ECA">
      <w:pPr>
        <w:pStyle w:val="BodyText"/>
        <w:rPr>
          <w:lang w:eastAsia="de-DE"/>
        </w:rPr>
      </w:pPr>
    </w:p>
    <w:p w14:paraId="21C014EF" w14:textId="77777777" w:rsidR="00486378" w:rsidRPr="00486378" w:rsidRDefault="00486378" w:rsidP="00A008FA">
      <w:pPr>
        <w:pStyle w:val="b2"/>
        <w:rPr>
          <w:lang w:eastAsia="de-DE"/>
        </w:rPr>
      </w:pPr>
      <w:bookmarkStart w:id="39" w:name="Begleitpapiere"/>
      <w:bookmarkStart w:id="40" w:name="_Toc179342311"/>
      <w:bookmarkStart w:id="41" w:name="_Toc188346302"/>
      <w:r w:rsidRPr="00486378">
        <w:rPr>
          <w:lang w:eastAsia="de-DE"/>
        </w:rPr>
        <w:t>Begleitpapiere</w:t>
      </w:r>
      <w:bookmarkEnd w:id="39"/>
      <w:r w:rsidRPr="00486378">
        <w:rPr>
          <w:lang w:eastAsia="de-DE"/>
        </w:rPr>
        <w:t xml:space="preserve"> (Frachtdokumente)</w:t>
      </w:r>
      <w:bookmarkEnd w:id="40"/>
      <w:bookmarkEnd w:id="41"/>
    </w:p>
    <w:p w14:paraId="60EFCD3E" w14:textId="77777777" w:rsidR="00486378" w:rsidRPr="00484454" w:rsidRDefault="00486378" w:rsidP="00484454">
      <w:pPr>
        <w:pStyle w:val="BodyText"/>
      </w:pPr>
      <w:r w:rsidRPr="00484454">
        <w:t>Es sind die länderspezifischen Mindestanforderungen für das Mitführen von Begleitpapieren einzuhalten.</w:t>
      </w:r>
    </w:p>
    <w:p w14:paraId="6AA1BB1B" w14:textId="77777777" w:rsidR="00486378" w:rsidRPr="00484454" w:rsidRDefault="00486378" w:rsidP="00484454">
      <w:pPr>
        <w:pStyle w:val="BodyText"/>
      </w:pPr>
    </w:p>
    <w:p w14:paraId="5993F71D" w14:textId="77777777" w:rsidR="00486378" w:rsidRPr="00484454" w:rsidRDefault="00AC6BB7" w:rsidP="00484454">
      <w:pPr>
        <w:pStyle w:val="BodyText"/>
      </w:pPr>
      <w:r w:rsidRPr="00484454">
        <w:t>GRAMMER</w:t>
      </w:r>
      <w:r w:rsidR="00486378" w:rsidRPr="00484454">
        <w:t>- Anforderungen:</w:t>
      </w:r>
    </w:p>
    <w:p w14:paraId="1C7BFA7D" w14:textId="77777777" w:rsidR="00486378" w:rsidRPr="00484454" w:rsidRDefault="00486378" w:rsidP="00484454">
      <w:pPr>
        <w:pStyle w:val="Textkrper-Aufzhlung"/>
      </w:pPr>
      <w:r w:rsidRPr="00484454">
        <w:t>Frachtbrief nach VDA4922</w:t>
      </w:r>
    </w:p>
    <w:p w14:paraId="5B4556EA" w14:textId="77777777" w:rsidR="00486378" w:rsidRPr="00484454" w:rsidRDefault="00486378" w:rsidP="00484454">
      <w:pPr>
        <w:pStyle w:val="Textkrper-Aufzhlung"/>
      </w:pPr>
      <w:r w:rsidRPr="00484454">
        <w:t>DFÜ - Warenbegleitschein nach VDA4912</w:t>
      </w:r>
    </w:p>
    <w:p w14:paraId="0E24301E" w14:textId="77777777" w:rsidR="00486378" w:rsidRPr="00484454" w:rsidRDefault="00486378" w:rsidP="00484454">
      <w:pPr>
        <w:pStyle w:val="Textkrper-Aufzhlung"/>
      </w:pPr>
      <w:r w:rsidRPr="00484454">
        <w:t>Zollpapiere (bei Bedarf)</w:t>
      </w:r>
    </w:p>
    <w:p w14:paraId="1D56B1F6" w14:textId="77777777" w:rsidR="00486378" w:rsidRPr="00486378" w:rsidRDefault="00486378" w:rsidP="00484454">
      <w:pPr>
        <w:pStyle w:val="BodyText"/>
        <w:rPr>
          <w:lang w:eastAsia="de-DE"/>
        </w:rPr>
      </w:pPr>
    </w:p>
    <w:p w14:paraId="21F5F3A6" w14:textId="77777777" w:rsidR="00486378" w:rsidRPr="00486378" w:rsidRDefault="00486378" w:rsidP="00484454">
      <w:pPr>
        <w:pStyle w:val="BodyText"/>
        <w:rPr>
          <w:lang w:eastAsia="de-DE"/>
        </w:rPr>
      </w:pPr>
      <w:r w:rsidRPr="00486378">
        <w:rPr>
          <w:lang w:eastAsia="de-DE"/>
        </w:rPr>
        <w:t xml:space="preserve">Außerdem ist eine Übermittlung eines elektronischen </w:t>
      </w:r>
      <w:proofErr w:type="spellStart"/>
      <w:r w:rsidRPr="00486378">
        <w:rPr>
          <w:lang w:eastAsia="de-DE"/>
        </w:rPr>
        <w:t>Lieferavises</w:t>
      </w:r>
      <w:proofErr w:type="spellEnd"/>
      <w:r w:rsidRPr="00486378">
        <w:rPr>
          <w:lang w:eastAsia="de-DE"/>
        </w:rPr>
        <w:t xml:space="preserve"> via EDI (EDI = Electronic Data Interchange) nach VDA 4913 zwingend erforderlich.</w:t>
      </w:r>
    </w:p>
    <w:p w14:paraId="7390F381" w14:textId="77777777" w:rsidR="00486378" w:rsidRDefault="00486378" w:rsidP="00484454">
      <w:pPr>
        <w:pStyle w:val="BodyText"/>
        <w:rPr>
          <w:lang w:eastAsia="de-DE"/>
        </w:rPr>
      </w:pPr>
      <w:r w:rsidRPr="00486378">
        <w:rPr>
          <w:lang w:eastAsia="de-DE"/>
        </w:rPr>
        <w:t xml:space="preserve">Sollte der Lieferant nicht EDI - fähig sein, muss das Avis durch den Lieferanten durch das </w:t>
      </w:r>
      <w:r w:rsidR="00AC6BB7">
        <w:rPr>
          <w:lang w:eastAsia="de-DE"/>
        </w:rPr>
        <w:t>GRAMMER</w:t>
      </w:r>
      <w:r w:rsidRPr="00486378">
        <w:rPr>
          <w:lang w:eastAsia="de-DE"/>
        </w:rPr>
        <w:t xml:space="preserve"> - Lieferantenportal angelegt werden.</w:t>
      </w:r>
    </w:p>
    <w:p w14:paraId="1ADA91A7" w14:textId="77777777" w:rsidR="00484454" w:rsidRDefault="00484454" w:rsidP="00484454">
      <w:pPr>
        <w:pStyle w:val="BodyText"/>
        <w:rPr>
          <w:lang w:eastAsia="de-DE"/>
        </w:rPr>
      </w:pPr>
    </w:p>
    <w:p w14:paraId="4E127BD3" w14:textId="77777777" w:rsidR="00484454" w:rsidRDefault="00484454" w:rsidP="00484454">
      <w:pPr>
        <w:pStyle w:val="BodyText"/>
        <w:rPr>
          <w:lang w:eastAsia="de-DE"/>
        </w:rPr>
      </w:pPr>
    </w:p>
    <w:p w14:paraId="3625246C" w14:textId="77777777" w:rsidR="00484454" w:rsidRPr="00486378" w:rsidRDefault="00484454" w:rsidP="00484454">
      <w:pPr>
        <w:pStyle w:val="BodyText"/>
        <w:rPr>
          <w:lang w:eastAsia="de-DE"/>
        </w:rPr>
      </w:pPr>
    </w:p>
    <w:p w14:paraId="49F303BF" w14:textId="77777777" w:rsidR="00486378" w:rsidRPr="00486378" w:rsidRDefault="00486378" w:rsidP="00EA0EC7">
      <w:pPr>
        <w:pStyle w:val="b2"/>
        <w:rPr>
          <w:lang w:eastAsia="de-DE"/>
        </w:rPr>
      </w:pPr>
      <w:bookmarkStart w:id="42" w:name="Tempe"/>
      <w:bookmarkStart w:id="43" w:name="_Toc179342312"/>
      <w:bookmarkStart w:id="44" w:name="_Toc188346303"/>
      <w:r w:rsidRPr="00486378">
        <w:rPr>
          <w:lang w:eastAsia="de-DE"/>
        </w:rPr>
        <w:t>Tempe</w:t>
      </w:r>
      <w:bookmarkEnd w:id="42"/>
      <w:r w:rsidRPr="00486378">
        <w:rPr>
          <w:lang w:eastAsia="de-DE"/>
        </w:rPr>
        <w:t>ratur- u. Gefahrguttransporte</w:t>
      </w:r>
      <w:bookmarkEnd w:id="43"/>
      <w:bookmarkEnd w:id="44"/>
    </w:p>
    <w:p w14:paraId="0AE39F4A" w14:textId="77777777" w:rsidR="00486378" w:rsidRPr="00486378" w:rsidRDefault="00486378" w:rsidP="00484454">
      <w:pPr>
        <w:pStyle w:val="BodyText"/>
        <w:rPr>
          <w:lang w:eastAsia="de-DE"/>
        </w:rPr>
      </w:pPr>
      <w:r w:rsidRPr="00486378">
        <w:rPr>
          <w:lang w:eastAsia="de-DE"/>
        </w:rPr>
        <w:t>Die Vorschriften für den Transport von temperaturgeführten und Gefahrguttransporten sind zu beachten. Der Lieferant haftet für alle aus der Nichtbeachtung von gesetzlichen Vorschriften entstandenen Schäden.</w:t>
      </w:r>
    </w:p>
    <w:p w14:paraId="596298BF" w14:textId="77777777" w:rsidR="00486378" w:rsidRPr="00486378" w:rsidRDefault="00486378" w:rsidP="00484454">
      <w:pPr>
        <w:pStyle w:val="BodyText"/>
        <w:rPr>
          <w:lang w:eastAsia="de-DE"/>
        </w:rPr>
      </w:pPr>
      <w:r w:rsidRPr="00486378">
        <w:rPr>
          <w:lang w:eastAsia="de-DE"/>
        </w:rPr>
        <w:t xml:space="preserve">Der Lieferant ist als </w:t>
      </w:r>
      <w:r w:rsidR="00AC6BB7">
        <w:rPr>
          <w:lang w:eastAsia="de-DE"/>
        </w:rPr>
        <w:t>sog. „</w:t>
      </w:r>
      <w:r w:rsidRPr="00486378">
        <w:rPr>
          <w:lang w:eastAsia="de-DE"/>
        </w:rPr>
        <w:t>Inverkehrbringer</w:t>
      </w:r>
      <w:r w:rsidR="00AC6BB7">
        <w:rPr>
          <w:lang w:eastAsia="de-DE"/>
        </w:rPr>
        <w:t>“</w:t>
      </w:r>
      <w:r w:rsidRPr="00486378">
        <w:rPr>
          <w:lang w:eastAsia="de-DE"/>
        </w:rPr>
        <w:t xml:space="preserve"> von Gefahrengut für die Einstufung/Klassifizierung, zulässige Beförderungsart und Beförderungserlaubnis verantwortlich.</w:t>
      </w:r>
    </w:p>
    <w:p w14:paraId="368AC070" w14:textId="77777777" w:rsidR="00486378" w:rsidRPr="00486378" w:rsidRDefault="00486378" w:rsidP="00484454">
      <w:pPr>
        <w:pStyle w:val="BodyText"/>
        <w:rPr>
          <w:lang w:eastAsia="de-DE"/>
        </w:rPr>
      </w:pPr>
    </w:p>
    <w:p w14:paraId="0405557E" w14:textId="77777777" w:rsidR="00486378" w:rsidRPr="00486378" w:rsidRDefault="00486378" w:rsidP="00484454">
      <w:pPr>
        <w:pStyle w:val="BodyText"/>
        <w:rPr>
          <w:lang w:eastAsia="de-DE"/>
        </w:rPr>
      </w:pPr>
      <w:r w:rsidRPr="00486378">
        <w:rPr>
          <w:lang w:eastAsia="de-DE"/>
        </w:rPr>
        <w:t xml:space="preserve">Der Lieferant hat als Verlader bzw. Absender die anwendbaren Vorschriften für Gefahrguttransporte zu beachten. Für den Transport sind ausschließlich bauartgeprüfte, zugelassene und von GRAMMER freigegebene Verpackungen zu verwenden. Erforderliche Datenblätter, Zulassungsbescheide etc. sind dem Transporteur rechtzeitig vor Versand zur Verfügung zu stellen. </w:t>
      </w:r>
    </w:p>
    <w:p w14:paraId="5BAD7D37" w14:textId="77777777" w:rsidR="00486378" w:rsidRPr="00486378" w:rsidRDefault="00486378" w:rsidP="00484454">
      <w:pPr>
        <w:pStyle w:val="BodyText"/>
        <w:rPr>
          <w:lang w:eastAsia="de-DE"/>
        </w:rPr>
      </w:pPr>
    </w:p>
    <w:p w14:paraId="29A99AE5" w14:textId="77777777" w:rsidR="00486378" w:rsidRDefault="00486378" w:rsidP="00484454">
      <w:pPr>
        <w:pStyle w:val="BodyText"/>
        <w:rPr>
          <w:rFonts w:eastAsia="Times New Roman"/>
          <w:sz w:val="22"/>
          <w:szCs w:val="22"/>
          <w:lang w:eastAsia="de-DE"/>
        </w:rPr>
      </w:pPr>
    </w:p>
    <w:p w14:paraId="6AA81CF4" w14:textId="77777777" w:rsidR="00484454" w:rsidRPr="00486378" w:rsidRDefault="00484454" w:rsidP="00484454">
      <w:pPr>
        <w:pStyle w:val="BodyText"/>
        <w:rPr>
          <w:rFonts w:eastAsia="Times New Roman"/>
          <w:sz w:val="22"/>
          <w:szCs w:val="22"/>
          <w:lang w:eastAsia="de-DE"/>
        </w:rPr>
      </w:pPr>
    </w:p>
    <w:p w14:paraId="4E6BADB5" w14:textId="77777777" w:rsidR="00486378" w:rsidRPr="00A008FA" w:rsidRDefault="00484454" w:rsidP="00A008FA">
      <w:pPr>
        <w:pStyle w:val="b1"/>
      </w:pPr>
      <w:bookmarkStart w:id="45" w:name="_Toc179342313"/>
      <w:bookmarkStart w:id="46" w:name="Zollabwicklung"/>
      <w:r>
        <w:br w:type="page"/>
      </w:r>
      <w:bookmarkStart w:id="47" w:name="_Toc188346304"/>
      <w:r w:rsidR="00486378" w:rsidRPr="00A008FA">
        <w:t>Zollabwicklung</w:t>
      </w:r>
      <w:bookmarkEnd w:id="45"/>
      <w:bookmarkEnd w:id="47"/>
    </w:p>
    <w:bookmarkEnd w:id="46"/>
    <w:p w14:paraId="13F3D644" w14:textId="77777777" w:rsidR="00486378" w:rsidRPr="00486378" w:rsidRDefault="00486378" w:rsidP="00A008FA">
      <w:pPr>
        <w:pStyle w:val="BodyText"/>
        <w:rPr>
          <w:lang w:eastAsia="de-DE"/>
        </w:rPr>
      </w:pPr>
      <w:r w:rsidRPr="00486378">
        <w:rPr>
          <w:lang w:eastAsia="de-DE"/>
        </w:rPr>
        <w:t>Die Exportfreimachung obliegt dem Lieferanten. Alle für den grenzüberschreitenden Verkehr benötigten Papiere und Dokumente (vor allem Präferenznachweise) müssen vom Lieferanten auf dessen Kosten erbracht und GRA</w:t>
      </w:r>
      <w:r w:rsidR="007C7C16">
        <w:rPr>
          <w:lang w:eastAsia="de-DE"/>
        </w:rPr>
        <w:t>MMER zugänglich gemacht werden.</w:t>
      </w:r>
    </w:p>
    <w:p w14:paraId="0C6FBC8F" w14:textId="77777777" w:rsidR="00486378" w:rsidRPr="00486378" w:rsidRDefault="00486378" w:rsidP="00A008FA">
      <w:pPr>
        <w:pStyle w:val="BodyText"/>
        <w:rPr>
          <w:lang w:eastAsia="de-DE"/>
        </w:rPr>
      </w:pPr>
      <w:r w:rsidRPr="00486378">
        <w:rPr>
          <w:lang w:eastAsia="de-DE"/>
        </w:rPr>
        <w:t xml:space="preserve">Treten zum Thema Zoll Fragen oder Probleme auf, so ist der Lieferant verpflichtet, sie, sofern möglich, bereits vor Abholung der Lieferung mit der Abteilung Zoll im </w:t>
      </w:r>
      <w:r w:rsidR="00AC6BB7">
        <w:rPr>
          <w:lang w:eastAsia="de-DE"/>
        </w:rPr>
        <w:t>GRAMMER -</w:t>
      </w:r>
      <w:r w:rsidRPr="00486378">
        <w:rPr>
          <w:lang w:eastAsia="de-DE"/>
        </w:rPr>
        <w:t xml:space="preserve">Anlieferwerk zu </w:t>
      </w:r>
      <w:r w:rsidR="007C7C16">
        <w:rPr>
          <w:lang w:eastAsia="de-DE"/>
        </w:rPr>
        <w:t>klären.</w:t>
      </w:r>
    </w:p>
    <w:p w14:paraId="35A162DC" w14:textId="77777777" w:rsidR="00486378" w:rsidRDefault="00486378" w:rsidP="00A008FA">
      <w:pPr>
        <w:pStyle w:val="BodyText"/>
        <w:rPr>
          <w:lang w:eastAsia="de-DE"/>
        </w:rPr>
      </w:pPr>
      <w:r w:rsidRPr="00486378">
        <w:rPr>
          <w:lang w:eastAsia="de-DE"/>
        </w:rPr>
        <w:t>Für alle Folgen – insbesondere bei Steuer- und Zollfor</w:t>
      </w:r>
      <w:r w:rsidR="00AC6BB7">
        <w:rPr>
          <w:lang w:eastAsia="de-DE"/>
        </w:rPr>
        <w:t>derungen, einschließlich evtl.</w:t>
      </w:r>
      <w:r w:rsidRPr="00486378">
        <w:rPr>
          <w:lang w:eastAsia="de-DE"/>
        </w:rPr>
        <w:t xml:space="preserve"> Konsequenzen aus Verfahren nach der Abgabenordnung und sonstiger Vorschriften – die uns aus einer, von Ihnen fehlerhaft ausge</w:t>
      </w:r>
      <w:r w:rsidR="00AC6BB7">
        <w:rPr>
          <w:lang w:eastAsia="de-DE"/>
        </w:rPr>
        <w:t>stellte</w:t>
      </w:r>
      <w:r w:rsidRPr="00486378">
        <w:rPr>
          <w:lang w:eastAsia="de-DE"/>
        </w:rPr>
        <w:t xml:space="preserve"> Erklärung entstehen, behalten wir uns Regressforderungen gegen Sie vor.</w:t>
      </w:r>
    </w:p>
    <w:p w14:paraId="0B5A7282" w14:textId="77777777" w:rsidR="00484454" w:rsidRDefault="00484454" w:rsidP="00A008FA">
      <w:pPr>
        <w:pStyle w:val="BodyText"/>
        <w:rPr>
          <w:lang w:eastAsia="de-DE"/>
        </w:rPr>
      </w:pPr>
    </w:p>
    <w:p w14:paraId="27E79DE0" w14:textId="77777777" w:rsidR="00484454" w:rsidRDefault="00484454" w:rsidP="00A008FA">
      <w:pPr>
        <w:pStyle w:val="BodyText"/>
        <w:rPr>
          <w:lang w:eastAsia="de-DE"/>
        </w:rPr>
      </w:pPr>
    </w:p>
    <w:p w14:paraId="7BA05A23" w14:textId="77777777" w:rsidR="00484454" w:rsidRPr="00486378" w:rsidRDefault="00484454" w:rsidP="00A008FA">
      <w:pPr>
        <w:pStyle w:val="BodyText"/>
        <w:rPr>
          <w:lang w:eastAsia="de-DE"/>
        </w:rPr>
      </w:pPr>
    </w:p>
    <w:p w14:paraId="51AEE0A8" w14:textId="77777777" w:rsidR="00486378" w:rsidRPr="00486378" w:rsidRDefault="00486378" w:rsidP="00A008FA">
      <w:pPr>
        <w:pStyle w:val="b2"/>
        <w:rPr>
          <w:lang w:eastAsia="de-DE"/>
        </w:rPr>
      </w:pPr>
      <w:bookmarkStart w:id="48" w:name="Europ"/>
      <w:bookmarkStart w:id="49" w:name="_Toc179342314"/>
      <w:bookmarkStart w:id="50" w:name="_Toc188346305"/>
      <w:r w:rsidRPr="00486378">
        <w:rPr>
          <w:lang w:eastAsia="de-DE"/>
        </w:rPr>
        <w:t>Europ</w:t>
      </w:r>
      <w:bookmarkEnd w:id="48"/>
      <w:r w:rsidRPr="00486378">
        <w:rPr>
          <w:lang w:eastAsia="de-DE"/>
        </w:rPr>
        <w:t>a</w:t>
      </w:r>
      <w:bookmarkEnd w:id="49"/>
      <w:bookmarkEnd w:id="50"/>
    </w:p>
    <w:p w14:paraId="3CED7542" w14:textId="77777777" w:rsidR="00486378" w:rsidRPr="00486378" w:rsidRDefault="00486378" w:rsidP="00A008FA">
      <w:pPr>
        <w:pStyle w:val="b3"/>
        <w:rPr>
          <w:lang w:eastAsia="de-DE"/>
        </w:rPr>
      </w:pPr>
      <w:bookmarkStart w:id="51" w:name="_Toc179342315"/>
      <w:r w:rsidRPr="00486378">
        <w:rPr>
          <w:lang w:eastAsia="de-DE"/>
        </w:rPr>
        <w:t>Mitglied</w:t>
      </w:r>
      <w:bookmarkStart w:id="52" w:name="sstaaten"/>
      <w:r w:rsidRPr="00486378">
        <w:rPr>
          <w:lang w:eastAsia="de-DE"/>
        </w:rPr>
        <w:t>sstaaten</w:t>
      </w:r>
      <w:bookmarkEnd w:id="52"/>
      <w:r w:rsidRPr="00486378">
        <w:rPr>
          <w:lang w:eastAsia="de-DE"/>
        </w:rPr>
        <w:t xml:space="preserve"> der Europäischen Union</w:t>
      </w:r>
      <w:bookmarkEnd w:id="51"/>
    </w:p>
    <w:p w14:paraId="7CB831DA" w14:textId="24AEBA9A" w:rsidR="00486378" w:rsidRDefault="00486378" w:rsidP="00A008FA">
      <w:pPr>
        <w:pStyle w:val="BodyText"/>
        <w:rPr>
          <w:lang w:eastAsia="de-DE"/>
        </w:rPr>
      </w:pPr>
      <w:r w:rsidRPr="00486378">
        <w:rPr>
          <w:lang w:eastAsia="de-DE"/>
        </w:rPr>
        <w:t>Lieferanten aus diesen Staaten sind verpflichtet, bei innergemeinschaftlichen Lieferungen die Umsatzsteuer-Ident</w:t>
      </w:r>
      <w:r w:rsidR="00AC6BB7">
        <w:rPr>
          <w:lang w:eastAsia="de-DE"/>
        </w:rPr>
        <w:t>.-</w:t>
      </w:r>
      <w:r w:rsidRPr="00486378">
        <w:rPr>
          <w:lang w:eastAsia="de-DE"/>
        </w:rPr>
        <w:t xml:space="preserve">nummer anzugeben. Weiterhin ist die Abgabe einer Langzeit-Lieferantenerklärung nach VO (EG) 1207/2001, in einigen Teilen geändert durch die </w:t>
      </w:r>
      <w:hyperlink r:id="rId8" w:tgtFrame="_blank" w:history="1">
        <w:r w:rsidRPr="00486378">
          <w:rPr>
            <w:bCs/>
            <w:color w:val="0000FF"/>
            <w:u w:val="single"/>
            <w:lang w:eastAsia="de-DE"/>
          </w:rPr>
          <w:t>VO (EG) 1617/2006</w:t>
        </w:r>
      </w:hyperlink>
      <w:r w:rsidRPr="00486378">
        <w:rPr>
          <w:lang w:eastAsia="de-DE"/>
        </w:rPr>
        <w:t>, zwingend erforderlich. Die Anforderung erfolgt separat durch die Abteilung Zentrale Zollabwicklung der GRAMMER AG, Postfach 1454, 92204 Amberg.</w:t>
      </w:r>
    </w:p>
    <w:p w14:paraId="415D5FF9" w14:textId="77777777" w:rsidR="00484454" w:rsidRDefault="00484454" w:rsidP="00A008FA">
      <w:pPr>
        <w:pStyle w:val="BodyText"/>
        <w:rPr>
          <w:lang w:eastAsia="de-DE"/>
        </w:rPr>
      </w:pPr>
    </w:p>
    <w:p w14:paraId="36379CF6" w14:textId="77777777" w:rsidR="00484454" w:rsidRDefault="00484454" w:rsidP="00A008FA">
      <w:pPr>
        <w:pStyle w:val="BodyText"/>
        <w:rPr>
          <w:lang w:eastAsia="de-DE"/>
        </w:rPr>
      </w:pPr>
    </w:p>
    <w:p w14:paraId="0E8D6A7A" w14:textId="77777777" w:rsidR="00484454" w:rsidRPr="00486378" w:rsidRDefault="00484454" w:rsidP="00A008FA">
      <w:pPr>
        <w:pStyle w:val="BodyText"/>
        <w:rPr>
          <w:lang w:eastAsia="de-DE"/>
        </w:rPr>
      </w:pPr>
    </w:p>
    <w:p w14:paraId="623A8D61" w14:textId="77777777" w:rsidR="00486378" w:rsidRPr="00486378" w:rsidRDefault="00486378" w:rsidP="00A008FA">
      <w:pPr>
        <w:pStyle w:val="b3"/>
        <w:rPr>
          <w:lang w:eastAsia="de-DE"/>
        </w:rPr>
      </w:pPr>
      <w:bookmarkStart w:id="53" w:name="_Toc179342316"/>
      <w:r w:rsidRPr="00486378">
        <w:rPr>
          <w:lang w:eastAsia="de-DE"/>
        </w:rPr>
        <w:t xml:space="preserve">Europäische Länder mit </w:t>
      </w:r>
      <w:bookmarkStart w:id="54" w:name="Präferenzverkeh"/>
      <w:r w:rsidRPr="00486378">
        <w:rPr>
          <w:lang w:eastAsia="de-DE"/>
        </w:rPr>
        <w:t>Präferenzverkeh</w:t>
      </w:r>
      <w:bookmarkEnd w:id="54"/>
      <w:r w:rsidRPr="00486378">
        <w:rPr>
          <w:lang w:eastAsia="de-DE"/>
        </w:rPr>
        <w:t>r im Handel mit der EU (Schweiz, Norwegen, Liechtenstein, Island, Kroatien, Färöer, Mazedonien)</w:t>
      </w:r>
      <w:bookmarkEnd w:id="53"/>
    </w:p>
    <w:p w14:paraId="7B4EB1E1" w14:textId="77777777" w:rsidR="00486378" w:rsidRDefault="00486378" w:rsidP="00A008FA">
      <w:pPr>
        <w:pStyle w:val="BodyText"/>
        <w:rPr>
          <w:lang w:eastAsia="de-DE"/>
        </w:rPr>
      </w:pPr>
      <w:r w:rsidRPr="00486378">
        <w:rPr>
          <w:lang w:eastAsia="de-DE"/>
        </w:rPr>
        <w:t xml:space="preserve">Neben den Unterlagen Frachtbrief, Lieferschein und Handelsrechnung (Original unterschrieben und abgestempelt) gibt es im Warenverkehr mit den genannten Ländern noch die Möglichkeit der Präferenzgewährung (EUR.1, Ursprungserklärung auf der Rechnung). Grundlage für die Ausstellung eines Präferenznachweises ist bei Lieferanten aus der EU eine Langzeit-Lieferantenerklärung bzw. ein Präferenznachweis (EUR.1, Ursprungserklärung auf der Rechnung). </w:t>
      </w:r>
    </w:p>
    <w:p w14:paraId="150AF74E" w14:textId="77777777" w:rsidR="00484454" w:rsidRDefault="00484454" w:rsidP="00A008FA">
      <w:pPr>
        <w:pStyle w:val="BodyText"/>
        <w:rPr>
          <w:lang w:eastAsia="de-DE"/>
        </w:rPr>
      </w:pPr>
    </w:p>
    <w:p w14:paraId="60BE3AD5" w14:textId="77777777" w:rsidR="00484454" w:rsidRDefault="00484454" w:rsidP="00A008FA">
      <w:pPr>
        <w:pStyle w:val="BodyText"/>
        <w:rPr>
          <w:lang w:eastAsia="de-DE"/>
        </w:rPr>
      </w:pPr>
    </w:p>
    <w:p w14:paraId="7CE3F2DD" w14:textId="77777777" w:rsidR="00484454" w:rsidRPr="00486378" w:rsidRDefault="00484454" w:rsidP="00A008FA">
      <w:pPr>
        <w:pStyle w:val="BodyText"/>
        <w:rPr>
          <w:lang w:eastAsia="de-DE"/>
        </w:rPr>
      </w:pPr>
    </w:p>
    <w:p w14:paraId="4FE9014B" w14:textId="77777777" w:rsidR="00486378" w:rsidRPr="00486378" w:rsidRDefault="00486378" w:rsidP="00A008FA">
      <w:pPr>
        <w:pStyle w:val="b3"/>
        <w:rPr>
          <w:lang w:eastAsia="de-DE"/>
        </w:rPr>
      </w:pPr>
      <w:bookmarkStart w:id="55" w:name="_Toc179342317"/>
      <w:r w:rsidRPr="00486378">
        <w:rPr>
          <w:lang w:eastAsia="de-DE"/>
        </w:rPr>
        <w:t xml:space="preserve">Europäische Länder </w:t>
      </w:r>
      <w:bookmarkStart w:id="56" w:name="ohnePräferenz"/>
      <w:r w:rsidRPr="00486378">
        <w:rPr>
          <w:lang w:eastAsia="de-DE"/>
        </w:rPr>
        <w:t>ohne Präferenz</w:t>
      </w:r>
      <w:bookmarkEnd w:id="56"/>
      <w:r w:rsidRPr="00486378">
        <w:rPr>
          <w:lang w:eastAsia="de-DE"/>
        </w:rPr>
        <w:t>verkehr</w:t>
      </w:r>
      <w:bookmarkEnd w:id="55"/>
    </w:p>
    <w:p w14:paraId="38E38193" w14:textId="77777777" w:rsidR="00486378" w:rsidRDefault="00486378" w:rsidP="00A008FA">
      <w:pPr>
        <w:pStyle w:val="BodyText"/>
        <w:rPr>
          <w:lang w:eastAsia="de-DE"/>
        </w:rPr>
      </w:pPr>
      <w:r w:rsidRPr="00486378">
        <w:rPr>
          <w:lang w:eastAsia="de-DE"/>
        </w:rPr>
        <w:t xml:space="preserve">Für Lieferungen in alle übrigen Europäischen Länder können weitere Dokumente erforderlich sein:  Ursprungszeugnis IHK, UZ Form A </w:t>
      </w:r>
    </w:p>
    <w:p w14:paraId="0AEEAA64" w14:textId="77777777" w:rsidR="00484454" w:rsidRDefault="00484454" w:rsidP="00A008FA">
      <w:pPr>
        <w:pStyle w:val="BodyText"/>
        <w:rPr>
          <w:lang w:eastAsia="de-DE"/>
        </w:rPr>
      </w:pPr>
    </w:p>
    <w:p w14:paraId="010B6479" w14:textId="77777777" w:rsidR="00484454" w:rsidRDefault="00484454" w:rsidP="00A008FA">
      <w:pPr>
        <w:pStyle w:val="BodyText"/>
        <w:rPr>
          <w:lang w:eastAsia="de-DE"/>
        </w:rPr>
      </w:pPr>
    </w:p>
    <w:p w14:paraId="2D1A1487" w14:textId="77777777" w:rsidR="00484454" w:rsidRPr="00486378" w:rsidRDefault="00484454" w:rsidP="00A008FA">
      <w:pPr>
        <w:pStyle w:val="BodyText"/>
        <w:rPr>
          <w:lang w:eastAsia="de-DE"/>
        </w:rPr>
      </w:pPr>
    </w:p>
    <w:p w14:paraId="5C925D14" w14:textId="77777777" w:rsidR="00486378" w:rsidRPr="00486378" w:rsidRDefault="00484454" w:rsidP="00A008FA">
      <w:pPr>
        <w:pStyle w:val="b3"/>
        <w:rPr>
          <w:lang w:eastAsia="de-DE"/>
        </w:rPr>
      </w:pPr>
      <w:bookmarkStart w:id="57" w:name="_Toc179342318"/>
      <w:r>
        <w:rPr>
          <w:lang w:eastAsia="de-DE"/>
        </w:rPr>
        <w:br w:type="page"/>
      </w:r>
      <w:r w:rsidR="00486378" w:rsidRPr="00486378">
        <w:rPr>
          <w:lang w:eastAsia="de-DE"/>
        </w:rPr>
        <w:t>Türkei</w:t>
      </w:r>
      <w:bookmarkEnd w:id="57"/>
    </w:p>
    <w:p w14:paraId="7609AC08" w14:textId="77777777" w:rsidR="00486378" w:rsidRPr="00486378" w:rsidRDefault="00486378" w:rsidP="00A008FA">
      <w:pPr>
        <w:pStyle w:val="BodyText"/>
        <w:rPr>
          <w:lang w:eastAsia="de-DE"/>
        </w:rPr>
      </w:pPr>
      <w:r w:rsidRPr="00486378">
        <w:rPr>
          <w:lang w:eastAsia="de-DE"/>
        </w:rPr>
        <w:t>Für EGKS-Waren (Europäische Gemeinschaft für Kohle und Stahl) benötigt der Kunde in der Türkei ein EUR.1, welches vom Lieferanten auszustellen ist.</w:t>
      </w:r>
    </w:p>
    <w:p w14:paraId="6C19964E" w14:textId="77777777" w:rsidR="00486378" w:rsidRPr="00486378" w:rsidRDefault="00486378" w:rsidP="00A008FA">
      <w:pPr>
        <w:pStyle w:val="BodyText"/>
        <w:rPr>
          <w:lang w:eastAsia="de-DE"/>
        </w:rPr>
      </w:pPr>
    </w:p>
    <w:p w14:paraId="2CA821A7" w14:textId="77777777" w:rsidR="00486378" w:rsidRPr="00486378" w:rsidRDefault="00486378" w:rsidP="00A008FA">
      <w:pPr>
        <w:pStyle w:val="BodyText"/>
        <w:rPr>
          <w:lang w:eastAsia="de-DE"/>
        </w:rPr>
      </w:pPr>
      <w:r w:rsidRPr="00486378">
        <w:rPr>
          <w:lang w:eastAsia="de-DE"/>
        </w:rPr>
        <w:t xml:space="preserve">Für Waren mit der Stat. Warennummer des </w:t>
      </w:r>
      <w:proofErr w:type="gramStart"/>
      <w:r w:rsidRPr="00486378">
        <w:rPr>
          <w:lang w:eastAsia="de-DE"/>
        </w:rPr>
        <w:t>Kapitels  8302</w:t>
      </w:r>
      <w:proofErr w:type="gramEnd"/>
      <w:r w:rsidRPr="00486378">
        <w:rPr>
          <w:lang w:eastAsia="de-DE"/>
        </w:rPr>
        <w:t xml:space="preserve"> - worunter bei GRAMMER Stoßdämpfer fallen, benötigt man für den Import in der Türkei ein IHK-Ursprungszeugnis. Dies ist zu tun, um den Import von Produkten aus China verstärkt zu kontrollieren.</w:t>
      </w:r>
    </w:p>
    <w:p w14:paraId="491FCC20" w14:textId="77777777" w:rsidR="00486378" w:rsidRPr="00486378" w:rsidRDefault="00486378" w:rsidP="00A008FA">
      <w:pPr>
        <w:pStyle w:val="BodyText"/>
        <w:rPr>
          <w:lang w:eastAsia="de-DE"/>
        </w:rPr>
      </w:pPr>
      <w:r w:rsidRPr="00486378">
        <w:rPr>
          <w:lang w:eastAsia="de-DE"/>
        </w:rPr>
        <w:t>Die Warenverkehrsbescheinigung ATR (bescheinigt, dass sich die Waren zum Zeitpunkt der Ausfuhr aus dem freien Verkehr des Ausfuhrlandes stammen) oder die EUR.1 für die genannten Produkte ist zusammen mit dem Lieferschein und der Rechnung zu erstellen.</w:t>
      </w:r>
    </w:p>
    <w:p w14:paraId="63E6B3E6" w14:textId="77777777" w:rsidR="00486378" w:rsidRDefault="00486378" w:rsidP="00A008FA">
      <w:pPr>
        <w:pStyle w:val="BodyText"/>
        <w:rPr>
          <w:lang w:eastAsia="de-DE"/>
        </w:rPr>
      </w:pPr>
      <w:r w:rsidRPr="00486378">
        <w:rPr>
          <w:lang w:eastAsia="de-DE"/>
        </w:rPr>
        <w:t xml:space="preserve">Die Sendung dieser Dokumente vorab per </w:t>
      </w:r>
      <w:proofErr w:type="gramStart"/>
      <w:r w:rsidRPr="00486378">
        <w:rPr>
          <w:lang w:eastAsia="de-DE"/>
        </w:rPr>
        <w:t>Email</w:t>
      </w:r>
      <w:proofErr w:type="gramEnd"/>
      <w:r w:rsidRPr="00486378">
        <w:rPr>
          <w:lang w:eastAsia="de-DE"/>
        </w:rPr>
        <w:t xml:space="preserve"> erleichtert dem Geschäftspartner in der Türkei die zu treffenden Vorbereitungen zur Einfuhr der Ware. Ebenso ist es wichtig, dass dieses ATR auch für Sendungen vom türkischen Geschäftspartner nach Deutschland vorliegt, um die Waren zollfrei importieren zu können.</w:t>
      </w:r>
    </w:p>
    <w:p w14:paraId="24907B50" w14:textId="77777777" w:rsidR="00484454" w:rsidRDefault="00484454" w:rsidP="00A008FA">
      <w:pPr>
        <w:pStyle w:val="BodyText"/>
        <w:rPr>
          <w:lang w:eastAsia="de-DE"/>
        </w:rPr>
      </w:pPr>
    </w:p>
    <w:p w14:paraId="55D77019" w14:textId="77777777" w:rsidR="00484454" w:rsidRDefault="00484454" w:rsidP="00A008FA">
      <w:pPr>
        <w:pStyle w:val="BodyText"/>
        <w:rPr>
          <w:lang w:eastAsia="de-DE"/>
        </w:rPr>
      </w:pPr>
    </w:p>
    <w:p w14:paraId="44F44639" w14:textId="77777777" w:rsidR="00484454" w:rsidRPr="00486378" w:rsidRDefault="00484454" w:rsidP="00A008FA">
      <w:pPr>
        <w:pStyle w:val="BodyText"/>
        <w:rPr>
          <w:lang w:eastAsia="de-DE"/>
        </w:rPr>
      </w:pPr>
    </w:p>
    <w:p w14:paraId="6A36DC0F" w14:textId="77777777" w:rsidR="00486378" w:rsidRPr="00486378" w:rsidRDefault="00486378" w:rsidP="00A008FA">
      <w:pPr>
        <w:pStyle w:val="b2"/>
        <w:rPr>
          <w:lang w:eastAsia="de-DE"/>
        </w:rPr>
      </w:pPr>
      <w:bookmarkStart w:id="58" w:name="_Toc179342319"/>
      <w:bookmarkStart w:id="59" w:name="_Toc188346306"/>
      <w:r w:rsidRPr="00486378">
        <w:rPr>
          <w:lang w:eastAsia="de-DE"/>
        </w:rPr>
        <w:t>Standorte von GRAMMER a</w:t>
      </w:r>
      <w:bookmarkStart w:id="60" w:name="ußerhalb"/>
      <w:r w:rsidRPr="00486378">
        <w:rPr>
          <w:lang w:eastAsia="de-DE"/>
        </w:rPr>
        <w:t>ußerhalb</w:t>
      </w:r>
      <w:bookmarkEnd w:id="60"/>
      <w:r w:rsidRPr="00486378">
        <w:rPr>
          <w:lang w:eastAsia="de-DE"/>
        </w:rPr>
        <w:t xml:space="preserve"> Europas</w:t>
      </w:r>
      <w:bookmarkEnd w:id="58"/>
      <w:bookmarkEnd w:id="59"/>
    </w:p>
    <w:p w14:paraId="55A5261B" w14:textId="77777777" w:rsidR="00486378" w:rsidRPr="00486378" w:rsidRDefault="00486378" w:rsidP="00484454">
      <w:pPr>
        <w:pStyle w:val="BodyText"/>
        <w:rPr>
          <w:u w:val="single"/>
          <w:lang w:eastAsia="de-DE"/>
        </w:rPr>
      </w:pPr>
      <w:r w:rsidRPr="00486378">
        <w:rPr>
          <w:lang w:eastAsia="de-DE"/>
        </w:rPr>
        <w:t>Vorschriften für Lieferungen in Länder mit GRAMMER-Standorten außerhalb Europas (neben Handelsrechnung (Original unterschrieben und abgestempelt), Packliste und Frachtbrief):</w:t>
      </w:r>
    </w:p>
    <w:p w14:paraId="3BB3C0E9" w14:textId="77777777" w:rsidR="00486378" w:rsidRPr="007C7C16" w:rsidRDefault="00486378" w:rsidP="00484454">
      <w:pPr>
        <w:pStyle w:val="BodyText"/>
        <w:rPr>
          <w:rFonts w:eastAsia="Times New Roman"/>
          <w:b/>
          <w:sz w:val="22"/>
          <w:szCs w:val="22"/>
          <w:u w:val="single"/>
          <w:lang w:eastAsia="de-DE"/>
        </w:rPr>
      </w:pPr>
    </w:p>
    <w:p w14:paraId="79FC8215" w14:textId="77777777" w:rsidR="00486378" w:rsidRPr="007C7C16" w:rsidRDefault="00486378" w:rsidP="007C7C16">
      <w:pPr>
        <w:pStyle w:val="BodyText"/>
        <w:rPr>
          <w:b/>
        </w:rPr>
      </w:pPr>
      <w:r w:rsidRPr="007C7C16">
        <w:rPr>
          <w:b/>
        </w:rPr>
        <w:t>USA</w:t>
      </w:r>
    </w:p>
    <w:p w14:paraId="67175EDB" w14:textId="77777777" w:rsidR="00486378" w:rsidRPr="00486378" w:rsidRDefault="00486378" w:rsidP="00484454">
      <w:pPr>
        <w:pStyle w:val="BodyText"/>
        <w:rPr>
          <w:lang w:eastAsia="de-DE"/>
        </w:rPr>
      </w:pPr>
      <w:r w:rsidRPr="00486378">
        <w:rPr>
          <w:lang w:eastAsia="de-DE"/>
        </w:rPr>
        <w:t>NAFTA-Ursprungszeugnis (bei Lieferungen aus Mexiko oder Canada), Ursprungszeugnis, Zollbürgschaft</w:t>
      </w:r>
    </w:p>
    <w:p w14:paraId="069EE1E3" w14:textId="77777777" w:rsidR="007C7C16" w:rsidRDefault="007C7C16" w:rsidP="00484454">
      <w:pPr>
        <w:pStyle w:val="BodyText"/>
        <w:rPr>
          <w:b/>
          <w:lang w:eastAsia="de-DE"/>
        </w:rPr>
      </w:pPr>
    </w:p>
    <w:p w14:paraId="184C6B47" w14:textId="77777777" w:rsidR="00486378" w:rsidRPr="007C7C16" w:rsidRDefault="00486378" w:rsidP="007C7C16">
      <w:pPr>
        <w:pStyle w:val="BodyText"/>
        <w:rPr>
          <w:b/>
          <w:lang w:eastAsia="de-DE"/>
        </w:rPr>
      </w:pPr>
      <w:r w:rsidRPr="007C7C16">
        <w:rPr>
          <w:b/>
          <w:lang w:eastAsia="de-DE"/>
        </w:rPr>
        <w:t>M</w:t>
      </w:r>
      <w:r w:rsidRPr="007C7C16">
        <w:rPr>
          <w:rStyle w:val="BodyTextChar"/>
          <w:b/>
        </w:rPr>
        <w:t>exik</w:t>
      </w:r>
      <w:r w:rsidRPr="007C7C16">
        <w:rPr>
          <w:b/>
          <w:lang w:eastAsia="de-DE"/>
        </w:rPr>
        <w:t>o</w:t>
      </w:r>
    </w:p>
    <w:p w14:paraId="46BC43E8" w14:textId="77777777" w:rsidR="00486378" w:rsidRPr="00484454" w:rsidRDefault="00486378" w:rsidP="00484454">
      <w:pPr>
        <w:pStyle w:val="BodyText"/>
      </w:pPr>
      <w:r w:rsidRPr="00484454">
        <w:t xml:space="preserve">EUR.1, Ursprungszeugnis, NAFTA-Ursprungszeugnis (bei Lieferungen aus </w:t>
      </w:r>
      <w:r w:rsidR="004B4E75" w:rsidRPr="00484454">
        <w:t>den</w:t>
      </w:r>
      <w:r w:rsidRPr="00484454">
        <w:t xml:space="preserve"> USA oder Canada), Nachweis für Holzverpackungen (Pflanzengesundheitszeugnis)</w:t>
      </w:r>
    </w:p>
    <w:p w14:paraId="3F85EF34" w14:textId="77777777" w:rsidR="00486378" w:rsidRPr="00484454" w:rsidRDefault="00486378" w:rsidP="00484454">
      <w:pPr>
        <w:pStyle w:val="BodyText"/>
      </w:pPr>
    </w:p>
    <w:p w14:paraId="10366227" w14:textId="77777777" w:rsidR="00486378" w:rsidRPr="007C7C16" w:rsidRDefault="00486378" w:rsidP="007C7C16">
      <w:pPr>
        <w:pStyle w:val="BodyText"/>
        <w:rPr>
          <w:b/>
        </w:rPr>
      </w:pPr>
      <w:r w:rsidRPr="007C7C16">
        <w:rPr>
          <w:b/>
        </w:rPr>
        <w:t>Argentinien</w:t>
      </w:r>
    </w:p>
    <w:p w14:paraId="116037DB" w14:textId="77777777" w:rsidR="00486378" w:rsidRPr="00486378" w:rsidRDefault="00486378" w:rsidP="00736598">
      <w:pPr>
        <w:pStyle w:val="BodyText"/>
        <w:rPr>
          <w:lang w:eastAsia="de-DE"/>
        </w:rPr>
      </w:pPr>
      <w:r w:rsidRPr="00486378">
        <w:rPr>
          <w:lang w:eastAsia="de-DE"/>
        </w:rPr>
        <w:t xml:space="preserve">Ursprungszeugnis, TAX Payer Registration Code </w:t>
      </w:r>
      <w:proofErr w:type="spellStart"/>
      <w:r w:rsidRPr="00486378">
        <w:rPr>
          <w:lang w:eastAsia="de-DE"/>
        </w:rPr>
        <w:t>Number</w:t>
      </w:r>
      <w:proofErr w:type="spellEnd"/>
      <w:r w:rsidRPr="00486378">
        <w:rPr>
          <w:lang w:eastAsia="de-DE"/>
        </w:rPr>
        <w:t xml:space="preserve"> (CUIT), Import-Zollerklärung, Nachweis für Holzverpackungen (Pflanzengesundheitszeugnis)</w:t>
      </w:r>
    </w:p>
    <w:p w14:paraId="334B7D30" w14:textId="77777777" w:rsidR="00486378" w:rsidRPr="00486378" w:rsidRDefault="00486378" w:rsidP="00486378">
      <w:pPr>
        <w:jc w:val="both"/>
        <w:rPr>
          <w:rFonts w:eastAsia="Times New Roman"/>
          <w:b/>
          <w:sz w:val="22"/>
          <w:szCs w:val="22"/>
          <w:lang w:eastAsia="de-DE"/>
        </w:rPr>
      </w:pPr>
    </w:p>
    <w:p w14:paraId="720E6FDA" w14:textId="77777777" w:rsidR="00486378" w:rsidRPr="00736598" w:rsidRDefault="00486378" w:rsidP="00736598">
      <w:pPr>
        <w:pStyle w:val="BodyText"/>
        <w:rPr>
          <w:b/>
          <w:lang w:eastAsia="de-DE"/>
        </w:rPr>
      </w:pPr>
      <w:r w:rsidRPr="00736598">
        <w:rPr>
          <w:b/>
          <w:lang w:eastAsia="de-DE"/>
        </w:rPr>
        <w:t>Brasilien</w:t>
      </w:r>
    </w:p>
    <w:p w14:paraId="2EE60119" w14:textId="77777777" w:rsidR="00486378" w:rsidRPr="00486378" w:rsidRDefault="00486378" w:rsidP="00736598">
      <w:pPr>
        <w:pStyle w:val="BodyText"/>
        <w:rPr>
          <w:lang w:eastAsia="de-DE"/>
        </w:rPr>
      </w:pPr>
      <w:r w:rsidRPr="00486378">
        <w:rPr>
          <w:lang w:eastAsia="de-DE"/>
        </w:rPr>
        <w:t>Unterschriebene (mit blauer Tinte) originale Handelsrechnung, Ursprungszeugnis, Import-Lizenz</w:t>
      </w:r>
    </w:p>
    <w:p w14:paraId="48C4DC25" w14:textId="77777777" w:rsidR="00486378" w:rsidRPr="00486378" w:rsidRDefault="00486378" w:rsidP="00486378">
      <w:pPr>
        <w:ind w:left="720"/>
        <w:jc w:val="both"/>
        <w:rPr>
          <w:rFonts w:eastAsia="Times New Roman"/>
          <w:sz w:val="22"/>
          <w:szCs w:val="22"/>
          <w:lang w:eastAsia="de-DE"/>
        </w:rPr>
      </w:pPr>
    </w:p>
    <w:p w14:paraId="433E5CE5" w14:textId="77777777" w:rsidR="00486378" w:rsidRPr="00736598" w:rsidRDefault="00486378" w:rsidP="00736598">
      <w:pPr>
        <w:pStyle w:val="BodyText"/>
        <w:rPr>
          <w:b/>
          <w:lang w:eastAsia="de-DE"/>
        </w:rPr>
      </w:pPr>
      <w:r w:rsidRPr="00736598">
        <w:rPr>
          <w:b/>
          <w:lang w:eastAsia="de-DE"/>
        </w:rPr>
        <w:t>China</w:t>
      </w:r>
    </w:p>
    <w:p w14:paraId="4A7E94C8" w14:textId="77777777" w:rsidR="00486378" w:rsidRPr="00486378" w:rsidRDefault="00486378" w:rsidP="00736598">
      <w:pPr>
        <w:pStyle w:val="BodyText"/>
        <w:rPr>
          <w:lang w:eastAsia="de-DE"/>
        </w:rPr>
      </w:pPr>
      <w:r w:rsidRPr="00486378">
        <w:rPr>
          <w:lang w:eastAsia="de-DE"/>
        </w:rPr>
        <w:t xml:space="preserve">Importlizenz wenn gefordert, CCC-Zertifizierung bei </w:t>
      </w:r>
      <w:proofErr w:type="spellStart"/>
      <w:r w:rsidRPr="00486378">
        <w:rPr>
          <w:lang w:eastAsia="de-DE"/>
        </w:rPr>
        <w:t>zeritfizierungspflichtigen</w:t>
      </w:r>
      <w:proofErr w:type="spellEnd"/>
      <w:r w:rsidRPr="00486378">
        <w:rPr>
          <w:lang w:eastAsia="de-DE"/>
        </w:rPr>
        <w:t xml:space="preserve"> Produkten</w:t>
      </w:r>
    </w:p>
    <w:p w14:paraId="751EA374" w14:textId="77777777" w:rsidR="00486378" w:rsidRPr="00486378" w:rsidRDefault="00486378" w:rsidP="00486378">
      <w:pPr>
        <w:ind w:left="720"/>
        <w:jc w:val="both"/>
        <w:rPr>
          <w:rFonts w:eastAsia="Times New Roman"/>
          <w:sz w:val="22"/>
          <w:szCs w:val="22"/>
          <w:lang w:eastAsia="de-DE"/>
        </w:rPr>
      </w:pPr>
    </w:p>
    <w:p w14:paraId="3371A170" w14:textId="77777777" w:rsidR="00486378" w:rsidRPr="00736598" w:rsidRDefault="00486378" w:rsidP="00736598">
      <w:pPr>
        <w:pStyle w:val="BodyText"/>
        <w:rPr>
          <w:b/>
          <w:lang w:eastAsia="de-DE"/>
        </w:rPr>
      </w:pPr>
      <w:r w:rsidRPr="00736598">
        <w:rPr>
          <w:b/>
          <w:lang w:eastAsia="de-DE"/>
        </w:rPr>
        <w:t>Japan</w:t>
      </w:r>
    </w:p>
    <w:p w14:paraId="294B08C0" w14:textId="77777777" w:rsidR="00486378" w:rsidRPr="00486378" w:rsidRDefault="00486378" w:rsidP="00736598">
      <w:pPr>
        <w:pStyle w:val="BodyText"/>
        <w:rPr>
          <w:lang w:eastAsia="de-DE"/>
        </w:rPr>
      </w:pPr>
      <w:r w:rsidRPr="00486378">
        <w:rPr>
          <w:lang w:eastAsia="de-DE"/>
        </w:rPr>
        <w:t>Ursprungszeugnis</w:t>
      </w:r>
    </w:p>
    <w:p w14:paraId="3E9B7708" w14:textId="77777777" w:rsidR="00486378" w:rsidRPr="00486378" w:rsidRDefault="00486378" w:rsidP="00486378">
      <w:pPr>
        <w:ind w:left="720"/>
        <w:jc w:val="both"/>
        <w:rPr>
          <w:rFonts w:eastAsia="Times New Roman"/>
          <w:sz w:val="22"/>
          <w:szCs w:val="22"/>
          <w:lang w:eastAsia="de-DE"/>
        </w:rPr>
      </w:pPr>
    </w:p>
    <w:p w14:paraId="6D323A1B" w14:textId="77777777" w:rsidR="00486378" w:rsidRPr="00736598" w:rsidRDefault="00486378" w:rsidP="00736598">
      <w:pPr>
        <w:pStyle w:val="BodyText"/>
        <w:rPr>
          <w:b/>
          <w:lang w:eastAsia="de-DE"/>
        </w:rPr>
      </w:pPr>
      <w:r w:rsidRPr="00736598">
        <w:rPr>
          <w:b/>
          <w:lang w:eastAsia="de-DE"/>
        </w:rPr>
        <w:t>Indien</w:t>
      </w:r>
    </w:p>
    <w:p w14:paraId="3AEC1399" w14:textId="77777777" w:rsidR="00486378" w:rsidRDefault="00486378" w:rsidP="00736598">
      <w:pPr>
        <w:pStyle w:val="BodyText"/>
        <w:rPr>
          <w:lang w:eastAsia="de-DE"/>
        </w:rPr>
      </w:pPr>
      <w:r w:rsidRPr="00486378">
        <w:rPr>
          <w:lang w:eastAsia="de-DE"/>
        </w:rPr>
        <w:t>Einfuhrerklärung, Herkunftsbescheinigung</w:t>
      </w:r>
    </w:p>
    <w:p w14:paraId="0DB89CBE" w14:textId="77777777" w:rsidR="00484454" w:rsidRPr="00486378" w:rsidRDefault="00484454" w:rsidP="00736598">
      <w:pPr>
        <w:pStyle w:val="BodyText"/>
        <w:rPr>
          <w:lang w:eastAsia="de-DE"/>
        </w:rPr>
      </w:pPr>
    </w:p>
    <w:p w14:paraId="7E61D56C" w14:textId="77777777" w:rsidR="00486378" w:rsidRPr="00486378" w:rsidRDefault="00484454" w:rsidP="00736598">
      <w:pPr>
        <w:pStyle w:val="b2"/>
        <w:rPr>
          <w:lang w:eastAsia="de-DE"/>
        </w:rPr>
      </w:pPr>
      <w:bookmarkStart w:id="61" w:name="Reklamationsa"/>
      <w:bookmarkStart w:id="62" w:name="_Toc179342320"/>
      <w:r>
        <w:rPr>
          <w:lang w:eastAsia="de-DE"/>
        </w:rPr>
        <w:br w:type="page"/>
      </w:r>
      <w:bookmarkStart w:id="63" w:name="_Toc188346307"/>
      <w:r w:rsidR="00486378" w:rsidRPr="00486378">
        <w:rPr>
          <w:lang w:eastAsia="de-DE"/>
        </w:rPr>
        <w:t>Reklamationsa</w:t>
      </w:r>
      <w:bookmarkEnd w:id="61"/>
      <w:r w:rsidR="00486378" w:rsidRPr="00486378">
        <w:rPr>
          <w:lang w:eastAsia="de-DE"/>
        </w:rPr>
        <w:t>bwicklung</w:t>
      </w:r>
      <w:bookmarkEnd w:id="62"/>
      <w:bookmarkEnd w:id="63"/>
    </w:p>
    <w:p w14:paraId="0A459D7A" w14:textId="77777777" w:rsidR="00486378" w:rsidRPr="00486378" w:rsidRDefault="00486378" w:rsidP="00736598">
      <w:pPr>
        <w:pStyle w:val="BodyText"/>
        <w:rPr>
          <w:lang w:eastAsia="de-DE"/>
        </w:rPr>
      </w:pPr>
      <w:r w:rsidRPr="00486378">
        <w:rPr>
          <w:lang w:eastAsia="de-DE"/>
        </w:rPr>
        <w:t xml:space="preserve">Die Reklamationsabwicklung (Zoll) für </w:t>
      </w:r>
      <w:proofErr w:type="spellStart"/>
      <w:r w:rsidRPr="00486378">
        <w:rPr>
          <w:lang w:eastAsia="de-DE"/>
        </w:rPr>
        <w:t>Rückware</w:t>
      </w:r>
      <w:proofErr w:type="spellEnd"/>
      <w:r w:rsidRPr="00486378">
        <w:rPr>
          <w:lang w:eastAsia="de-DE"/>
        </w:rPr>
        <w:t xml:space="preserve"> obliegt dem Lieferanten, der diese in Abstimmung mit GRAMMER durchführt. Transportkosten für Reklamationsware müssen vom Lieferanten übernommen werden.</w:t>
      </w:r>
    </w:p>
    <w:p w14:paraId="2BB713EF" w14:textId="77777777" w:rsidR="00486378" w:rsidRDefault="00486378" w:rsidP="00736598">
      <w:pPr>
        <w:pStyle w:val="BodyText"/>
        <w:rPr>
          <w:lang w:eastAsia="de-DE"/>
        </w:rPr>
      </w:pPr>
    </w:p>
    <w:p w14:paraId="29847DA9" w14:textId="77777777" w:rsidR="007C7C16" w:rsidRDefault="007C7C16" w:rsidP="00736598">
      <w:pPr>
        <w:pStyle w:val="BodyText"/>
        <w:rPr>
          <w:lang w:eastAsia="de-DE"/>
        </w:rPr>
      </w:pPr>
    </w:p>
    <w:p w14:paraId="5AD57AF5" w14:textId="77777777" w:rsidR="007C7C16" w:rsidRDefault="007C7C16" w:rsidP="00736598">
      <w:pPr>
        <w:pStyle w:val="BodyText"/>
        <w:rPr>
          <w:lang w:eastAsia="de-DE"/>
        </w:rPr>
      </w:pPr>
    </w:p>
    <w:p w14:paraId="4ADAFC8B" w14:textId="77777777" w:rsidR="007C7C16" w:rsidRPr="00486378" w:rsidRDefault="007C7C16" w:rsidP="00736598">
      <w:pPr>
        <w:pStyle w:val="BodyText"/>
        <w:rPr>
          <w:lang w:eastAsia="de-DE"/>
        </w:rPr>
      </w:pPr>
    </w:p>
    <w:p w14:paraId="4E173DC8" w14:textId="77777777" w:rsidR="00486378" w:rsidRPr="00486378" w:rsidRDefault="00484454" w:rsidP="00736598">
      <w:pPr>
        <w:pStyle w:val="b1"/>
        <w:rPr>
          <w:lang w:eastAsia="de-DE"/>
        </w:rPr>
      </w:pPr>
      <w:bookmarkStart w:id="64" w:name="_Toc179342321"/>
      <w:bookmarkStart w:id="65" w:name="Verpackung"/>
      <w:r>
        <w:rPr>
          <w:lang w:eastAsia="de-DE"/>
        </w:rPr>
        <w:br w:type="page"/>
      </w:r>
      <w:bookmarkStart w:id="66" w:name="_Toc188346308"/>
      <w:r w:rsidR="00486378" w:rsidRPr="00486378">
        <w:rPr>
          <w:lang w:eastAsia="de-DE"/>
        </w:rPr>
        <w:t>Verpackung</w:t>
      </w:r>
      <w:bookmarkEnd w:id="64"/>
      <w:bookmarkEnd w:id="66"/>
    </w:p>
    <w:p w14:paraId="6CAA00F6" w14:textId="77777777" w:rsidR="00486378" w:rsidRPr="00486378" w:rsidRDefault="00486378" w:rsidP="00736598">
      <w:pPr>
        <w:pStyle w:val="b2"/>
        <w:rPr>
          <w:lang w:eastAsia="de-DE"/>
        </w:rPr>
      </w:pPr>
      <w:bookmarkStart w:id="67" w:name="_Toc179342322"/>
      <w:bookmarkStart w:id="68" w:name="Grundsätze"/>
      <w:bookmarkStart w:id="69" w:name="_Toc188346309"/>
      <w:bookmarkEnd w:id="65"/>
      <w:r w:rsidRPr="00486378">
        <w:rPr>
          <w:lang w:eastAsia="de-DE"/>
        </w:rPr>
        <w:t>Grundsätze</w:t>
      </w:r>
      <w:bookmarkEnd w:id="67"/>
      <w:bookmarkEnd w:id="69"/>
    </w:p>
    <w:bookmarkEnd w:id="68"/>
    <w:p w14:paraId="50F3DF5E" w14:textId="77777777" w:rsidR="00486378" w:rsidRPr="00486378" w:rsidRDefault="00486378" w:rsidP="00736598">
      <w:pPr>
        <w:pStyle w:val="BodyText"/>
        <w:rPr>
          <w:lang w:eastAsia="de-DE"/>
        </w:rPr>
      </w:pPr>
      <w:r w:rsidRPr="00486378">
        <w:rPr>
          <w:lang w:eastAsia="de-DE"/>
        </w:rPr>
        <w:t>Der Lieferant hat sicherzustellen, dass seine Ware so verpackt wird, dass sie in der vereinbarten Qualität und der korrekten Kennzeichnung in die Fertigungsprozesse des Bestellers einfließen kann.</w:t>
      </w:r>
    </w:p>
    <w:p w14:paraId="36CCF8AF" w14:textId="77777777" w:rsidR="00486378" w:rsidRPr="00486378" w:rsidRDefault="00486378" w:rsidP="00736598">
      <w:pPr>
        <w:pStyle w:val="BodyText"/>
        <w:rPr>
          <w:lang w:eastAsia="de-DE"/>
        </w:rPr>
      </w:pPr>
      <w:r w:rsidRPr="00486378">
        <w:rPr>
          <w:lang w:eastAsia="de-DE"/>
        </w:rPr>
        <w:t xml:space="preserve">Verpackungen sind unter ökonomischen und ökologischen Gesichtspunkten zu planen. </w:t>
      </w:r>
    </w:p>
    <w:p w14:paraId="706D1BC0" w14:textId="77777777" w:rsidR="00486378" w:rsidRDefault="00486378" w:rsidP="00736598">
      <w:pPr>
        <w:pStyle w:val="BodyText"/>
        <w:rPr>
          <w:lang w:eastAsia="de-DE"/>
        </w:rPr>
      </w:pPr>
      <w:r w:rsidRPr="00486378">
        <w:rPr>
          <w:lang w:eastAsia="de-DE"/>
        </w:rPr>
        <w:t>Ziel ist es, Mehrwegverpackungen einzusetzen und den Anteil an Einwegverpackungen auf ein Minimum zu reduzieren.</w:t>
      </w:r>
    </w:p>
    <w:p w14:paraId="24CE8E36" w14:textId="77777777" w:rsidR="0004349D" w:rsidRPr="00486378" w:rsidRDefault="0004349D" w:rsidP="00736598">
      <w:pPr>
        <w:pStyle w:val="BodyText"/>
        <w:rPr>
          <w:lang w:eastAsia="de-DE"/>
        </w:rPr>
      </w:pPr>
    </w:p>
    <w:p w14:paraId="23327207" w14:textId="7AB9B6FC" w:rsidR="007C7C16" w:rsidRDefault="00486378" w:rsidP="007C7C16">
      <w:pPr>
        <w:pStyle w:val="Textkrper-Aufzhlung"/>
      </w:pPr>
      <w:r w:rsidRPr="007C7C16">
        <w:t>Die Kennzeichnung der Außenbehälter, Kleinladungsträger und Paletten hat nach VDA4902 zu erfolgen.</w:t>
      </w:r>
    </w:p>
    <w:p w14:paraId="614D4A29" w14:textId="77777777" w:rsidR="0004349D" w:rsidRDefault="0004349D" w:rsidP="0004349D">
      <w:pPr>
        <w:pStyle w:val="Textkrper-Aufzhlung"/>
        <w:numPr>
          <w:ilvl w:val="0"/>
          <w:numId w:val="0"/>
        </w:numPr>
        <w:ind w:left="357"/>
      </w:pPr>
    </w:p>
    <w:p w14:paraId="6D22FC01" w14:textId="77777777" w:rsidR="00486378" w:rsidRDefault="00486378" w:rsidP="007C7C16">
      <w:pPr>
        <w:pStyle w:val="Textkrper-Aufzhlung"/>
        <w:numPr>
          <w:ilvl w:val="0"/>
          <w:numId w:val="0"/>
        </w:numPr>
      </w:pPr>
      <w:r w:rsidRPr="00486378">
        <w:t>Bei Mischverpackungen ist ein Masterlabel einzusetzen. Bei Lieferungen nach USA / Mexiko ist ein B10 – Label (nach AIAG-Standard) einzusetzen</w:t>
      </w:r>
      <w:r w:rsidRPr="00486378">
        <w:rPr>
          <w:color w:val="0000FF"/>
        </w:rPr>
        <w:t xml:space="preserve">. </w:t>
      </w:r>
      <w:r w:rsidRPr="00486378">
        <w:t xml:space="preserve">In anderen Ländern werden die aktuellen örtlichen Standards verwendet. Vorrangig gelten aber die </w:t>
      </w:r>
      <w:proofErr w:type="gramStart"/>
      <w:r w:rsidRPr="00486378">
        <w:t>Vereinbarungen</w:t>
      </w:r>
      <w:proofErr w:type="gramEnd"/>
      <w:r w:rsidRPr="00486378">
        <w:t xml:space="preserve"> die im Verpackungsdatenblatt hinterlegt sind.</w:t>
      </w:r>
    </w:p>
    <w:p w14:paraId="722AAEE4" w14:textId="77777777" w:rsidR="0004349D" w:rsidRPr="00486378" w:rsidRDefault="0004349D" w:rsidP="007C7C16">
      <w:pPr>
        <w:pStyle w:val="Textkrper-Aufzhlung"/>
        <w:numPr>
          <w:ilvl w:val="0"/>
          <w:numId w:val="0"/>
        </w:numPr>
      </w:pPr>
    </w:p>
    <w:p w14:paraId="6A845CD5" w14:textId="77777777" w:rsidR="00486378" w:rsidRPr="00486378" w:rsidRDefault="00486378" w:rsidP="00736598">
      <w:pPr>
        <w:pStyle w:val="Textkrper-Aufzhlung"/>
      </w:pPr>
      <w:r w:rsidRPr="00486378">
        <w:t>Einzelverpackungen, Behältertypen, Stückzahl, etc. siehe Punkt 4.2</w:t>
      </w:r>
      <w:r w:rsidRPr="00486378">
        <w:rPr>
          <w:b/>
        </w:rPr>
        <w:t xml:space="preserve"> </w:t>
      </w:r>
      <w:r w:rsidRPr="00486378">
        <w:t xml:space="preserve">und </w:t>
      </w:r>
      <w:proofErr w:type="gramStart"/>
      <w:r w:rsidRPr="00486378">
        <w:t>Verpackungsdatenblatt</w:t>
      </w:r>
      <w:proofErr w:type="gramEnd"/>
      <w:r w:rsidRPr="00486378">
        <w:t xml:space="preserve"> Punkt 4.9</w:t>
      </w:r>
    </w:p>
    <w:p w14:paraId="72EA48E4" w14:textId="77777777" w:rsidR="00486378" w:rsidRPr="00486378" w:rsidRDefault="00486378" w:rsidP="00736598">
      <w:pPr>
        <w:pStyle w:val="Textkrper-Aufzhlung"/>
      </w:pPr>
      <w:r w:rsidRPr="00486378">
        <w:t>Ladehilfsmittel dürfen keine Überstände aufweisen.</w:t>
      </w:r>
    </w:p>
    <w:p w14:paraId="20FB5A27" w14:textId="77777777" w:rsidR="00486378" w:rsidRPr="00486378" w:rsidRDefault="00486378" w:rsidP="00736598">
      <w:pPr>
        <w:pStyle w:val="Textkrper-Aufzhlung"/>
      </w:pPr>
      <w:r w:rsidRPr="00486378">
        <w:t xml:space="preserve">Bei der Anlieferung in Mehrwegverpackungen ist auf dem Lieferschein/ Frachtbrief/ optional </w:t>
      </w:r>
      <w:proofErr w:type="spellStart"/>
      <w:r w:rsidRPr="00486378">
        <w:t>Ladehilfsmittelbegleitschein</w:t>
      </w:r>
      <w:proofErr w:type="spellEnd"/>
      <w:r w:rsidRPr="00486378">
        <w:t xml:space="preserve"> die angelieferte Behältermenge pro Behältertyp anzugeben.</w:t>
      </w:r>
    </w:p>
    <w:p w14:paraId="65BE3F71" w14:textId="77777777" w:rsidR="00486378" w:rsidRPr="00486378" w:rsidRDefault="00486378" w:rsidP="00486378">
      <w:pPr>
        <w:ind w:left="709"/>
        <w:jc w:val="both"/>
        <w:rPr>
          <w:rFonts w:eastAsia="Times New Roman"/>
          <w:sz w:val="22"/>
          <w:szCs w:val="22"/>
          <w:lang w:eastAsia="de-DE"/>
        </w:rPr>
      </w:pPr>
    </w:p>
    <w:p w14:paraId="4E94B182" w14:textId="77777777" w:rsidR="00486378" w:rsidRPr="00486378" w:rsidRDefault="00486378" w:rsidP="00736598">
      <w:pPr>
        <w:pStyle w:val="BodyText"/>
        <w:rPr>
          <w:lang w:eastAsia="de-DE"/>
        </w:rPr>
      </w:pPr>
      <w:r w:rsidRPr="00486378">
        <w:rPr>
          <w:lang w:eastAsia="de-DE"/>
        </w:rPr>
        <w:t xml:space="preserve">Der </w:t>
      </w:r>
      <w:r w:rsidR="00AC6BB7">
        <w:rPr>
          <w:lang w:eastAsia="de-DE"/>
        </w:rPr>
        <w:t>GRAMMER</w:t>
      </w:r>
      <w:r w:rsidRPr="00486378">
        <w:rPr>
          <w:lang w:eastAsia="de-DE"/>
        </w:rPr>
        <w:t xml:space="preserve"> AG sind Verpackungsumstellungen jedoch vorbehalten.</w:t>
      </w:r>
    </w:p>
    <w:p w14:paraId="396AB1CD" w14:textId="77777777" w:rsidR="00486378" w:rsidRPr="00486378" w:rsidRDefault="00486378" w:rsidP="00736598">
      <w:pPr>
        <w:pStyle w:val="BodyText"/>
        <w:rPr>
          <w:lang w:eastAsia="de-DE"/>
        </w:rPr>
      </w:pPr>
      <w:r w:rsidRPr="00486378">
        <w:rPr>
          <w:lang w:eastAsia="de-DE"/>
        </w:rPr>
        <w:t xml:space="preserve">GRAMMER weist im Besonderen darauf hin, dass die Inhalte dieser Richtlinie die ausführende Person/Stelle nicht von der Haftung für Schäden </w:t>
      </w:r>
      <w:proofErr w:type="gramStart"/>
      <w:r w:rsidRPr="00486378">
        <w:rPr>
          <w:lang w:eastAsia="de-DE"/>
        </w:rPr>
        <w:t>entbindet</w:t>
      </w:r>
      <w:proofErr w:type="gramEnd"/>
      <w:r w:rsidRPr="00486378">
        <w:rPr>
          <w:lang w:eastAsia="de-DE"/>
        </w:rPr>
        <w:t>, wie z. B. durch mangelhafte Verpackung oder ungenügenden Korrosionsschutz.</w:t>
      </w:r>
    </w:p>
    <w:p w14:paraId="4D33DCB0" w14:textId="77777777" w:rsidR="00486378" w:rsidRDefault="00486378" w:rsidP="00736598">
      <w:pPr>
        <w:pStyle w:val="BodyText"/>
        <w:rPr>
          <w:lang w:eastAsia="de-DE"/>
        </w:rPr>
      </w:pPr>
      <w:r w:rsidRPr="00486378">
        <w:rPr>
          <w:lang w:eastAsia="de-DE"/>
        </w:rPr>
        <w:t>Bei Nichteinhaltung der geltenden Verpackungsvorschriften werden die dadurch entstehenden Kosten an den Lieferanten weiterbelastet.</w:t>
      </w:r>
    </w:p>
    <w:p w14:paraId="59A63642" w14:textId="77777777" w:rsidR="00484454" w:rsidRDefault="00484454" w:rsidP="00736598">
      <w:pPr>
        <w:pStyle w:val="BodyText"/>
        <w:rPr>
          <w:lang w:eastAsia="de-DE"/>
        </w:rPr>
      </w:pPr>
    </w:p>
    <w:p w14:paraId="587C7883" w14:textId="77777777" w:rsidR="00484454" w:rsidRDefault="00484454" w:rsidP="00736598">
      <w:pPr>
        <w:pStyle w:val="BodyText"/>
        <w:rPr>
          <w:lang w:eastAsia="de-DE"/>
        </w:rPr>
      </w:pPr>
    </w:p>
    <w:p w14:paraId="3A282111" w14:textId="77777777" w:rsidR="00484454" w:rsidRPr="00486378" w:rsidRDefault="00484454" w:rsidP="00736598">
      <w:pPr>
        <w:pStyle w:val="BodyText"/>
        <w:rPr>
          <w:lang w:eastAsia="de-DE"/>
        </w:rPr>
      </w:pPr>
    </w:p>
    <w:p w14:paraId="30895D19" w14:textId="77777777" w:rsidR="00486378" w:rsidRPr="00486378" w:rsidRDefault="00486378" w:rsidP="00736598">
      <w:pPr>
        <w:pStyle w:val="b3"/>
        <w:rPr>
          <w:lang w:eastAsia="de-DE"/>
        </w:rPr>
      </w:pPr>
      <w:bookmarkStart w:id="70" w:name="Abkürzungsverzeichnis"/>
      <w:bookmarkStart w:id="71" w:name="_Toc179342323"/>
      <w:r w:rsidRPr="00486378">
        <w:rPr>
          <w:lang w:eastAsia="de-DE"/>
        </w:rPr>
        <w:t>Abkürzungsverzeichnis</w:t>
      </w:r>
      <w:bookmarkEnd w:id="70"/>
      <w:bookmarkEnd w:id="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5760"/>
      </w:tblGrid>
      <w:tr w:rsidR="00486378" w:rsidRPr="000615CC" w14:paraId="65F68AA8" w14:textId="77777777" w:rsidTr="004E6DAB">
        <w:tc>
          <w:tcPr>
            <w:tcW w:w="2340" w:type="dxa"/>
            <w:shd w:val="clear" w:color="auto" w:fill="auto"/>
          </w:tcPr>
          <w:p w14:paraId="20C54C58" w14:textId="77777777" w:rsidR="00486378" w:rsidRPr="000615CC" w:rsidRDefault="00486378" w:rsidP="00736598">
            <w:pPr>
              <w:pStyle w:val="BodyText"/>
              <w:rPr>
                <w:rFonts w:eastAsia="Times New Roman"/>
                <w:lang w:eastAsia="de-DE"/>
              </w:rPr>
            </w:pPr>
            <w:r w:rsidRPr="000615CC">
              <w:rPr>
                <w:rFonts w:eastAsia="Times New Roman"/>
                <w:lang w:eastAsia="de-DE"/>
              </w:rPr>
              <w:t>KLT</w:t>
            </w:r>
          </w:p>
        </w:tc>
        <w:tc>
          <w:tcPr>
            <w:tcW w:w="5760" w:type="dxa"/>
            <w:shd w:val="clear" w:color="auto" w:fill="auto"/>
          </w:tcPr>
          <w:p w14:paraId="4C0E91A7" w14:textId="77777777" w:rsidR="00486378" w:rsidRPr="000615CC" w:rsidRDefault="00486378" w:rsidP="00736598">
            <w:pPr>
              <w:pStyle w:val="BodyText"/>
              <w:rPr>
                <w:rFonts w:eastAsia="Times New Roman"/>
                <w:lang w:eastAsia="de-DE"/>
              </w:rPr>
            </w:pPr>
            <w:r w:rsidRPr="000615CC">
              <w:rPr>
                <w:rFonts w:eastAsia="Times New Roman"/>
                <w:lang w:eastAsia="de-DE"/>
              </w:rPr>
              <w:t>Kleinladungsträger</w:t>
            </w:r>
          </w:p>
        </w:tc>
      </w:tr>
      <w:tr w:rsidR="00486378" w:rsidRPr="000615CC" w14:paraId="2F5DA76F" w14:textId="77777777" w:rsidTr="004E6DAB">
        <w:tc>
          <w:tcPr>
            <w:tcW w:w="2340" w:type="dxa"/>
            <w:shd w:val="clear" w:color="auto" w:fill="auto"/>
          </w:tcPr>
          <w:p w14:paraId="3E324AD0" w14:textId="77777777" w:rsidR="00486378" w:rsidRPr="000615CC" w:rsidRDefault="00486378" w:rsidP="00736598">
            <w:pPr>
              <w:pStyle w:val="BodyText"/>
              <w:rPr>
                <w:rFonts w:eastAsia="Times New Roman"/>
                <w:lang w:eastAsia="de-DE"/>
              </w:rPr>
            </w:pPr>
            <w:r w:rsidRPr="000615CC">
              <w:rPr>
                <w:rFonts w:eastAsia="Times New Roman"/>
                <w:lang w:eastAsia="de-DE"/>
              </w:rPr>
              <w:t>LT</w:t>
            </w:r>
          </w:p>
        </w:tc>
        <w:tc>
          <w:tcPr>
            <w:tcW w:w="5760" w:type="dxa"/>
            <w:shd w:val="clear" w:color="auto" w:fill="auto"/>
          </w:tcPr>
          <w:p w14:paraId="2A6CEA1A" w14:textId="77777777" w:rsidR="00486378" w:rsidRPr="000615CC" w:rsidRDefault="00486378" w:rsidP="00736598">
            <w:pPr>
              <w:pStyle w:val="BodyText"/>
              <w:rPr>
                <w:rFonts w:eastAsia="Times New Roman"/>
                <w:lang w:eastAsia="de-DE"/>
              </w:rPr>
            </w:pPr>
            <w:r w:rsidRPr="000615CC">
              <w:rPr>
                <w:rFonts w:eastAsia="Times New Roman"/>
                <w:lang w:eastAsia="de-DE"/>
              </w:rPr>
              <w:t>Ladungsträger</w:t>
            </w:r>
          </w:p>
        </w:tc>
      </w:tr>
      <w:tr w:rsidR="00486378" w:rsidRPr="000615CC" w14:paraId="4B55F412" w14:textId="77777777" w:rsidTr="004E6DAB">
        <w:tc>
          <w:tcPr>
            <w:tcW w:w="2340" w:type="dxa"/>
            <w:shd w:val="clear" w:color="auto" w:fill="auto"/>
          </w:tcPr>
          <w:p w14:paraId="36ED2BCF" w14:textId="77777777" w:rsidR="00486378" w:rsidRPr="000615CC" w:rsidRDefault="00486378" w:rsidP="00736598">
            <w:pPr>
              <w:pStyle w:val="BodyText"/>
              <w:rPr>
                <w:rFonts w:eastAsia="Times New Roman"/>
                <w:lang w:eastAsia="de-DE"/>
              </w:rPr>
            </w:pPr>
            <w:r w:rsidRPr="000615CC">
              <w:rPr>
                <w:rFonts w:eastAsia="Times New Roman"/>
                <w:lang w:eastAsia="de-DE"/>
              </w:rPr>
              <w:t>EWC- M (N; H)</w:t>
            </w:r>
          </w:p>
        </w:tc>
        <w:tc>
          <w:tcPr>
            <w:tcW w:w="5760" w:type="dxa"/>
            <w:shd w:val="clear" w:color="auto" w:fill="auto"/>
          </w:tcPr>
          <w:p w14:paraId="43B67FE9" w14:textId="77777777" w:rsidR="00486378" w:rsidRPr="000615CC" w:rsidRDefault="00486378" w:rsidP="00736598">
            <w:pPr>
              <w:pStyle w:val="BodyText"/>
              <w:rPr>
                <w:rFonts w:eastAsia="Times New Roman"/>
                <w:lang w:eastAsia="de-DE"/>
              </w:rPr>
            </w:pPr>
            <w:r w:rsidRPr="000615CC">
              <w:rPr>
                <w:rFonts w:eastAsia="Times New Roman"/>
                <w:lang w:eastAsia="de-DE"/>
              </w:rPr>
              <w:t>Einwegcontainer- Mittel (Niedrig; Hoch)</w:t>
            </w:r>
          </w:p>
        </w:tc>
      </w:tr>
      <w:tr w:rsidR="00486378" w:rsidRPr="000615CC" w14:paraId="30FC4317" w14:textId="77777777" w:rsidTr="004E6DAB">
        <w:tc>
          <w:tcPr>
            <w:tcW w:w="2340" w:type="dxa"/>
            <w:shd w:val="clear" w:color="auto" w:fill="auto"/>
          </w:tcPr>
          <w:p w14:paraId="3B813BFE" w14:textId="77777777" w:rsidR="00486378" w:rsidRPr="000615CC" w:rsidRDefault="00486378" w:rsidP="00736598">
            <w:pPr>
              <w:pStyle w:val="BodyText"/>
              <w:rPr>
                <w:rFonts w:eastAsia="Times New Roman"/>
                <w:lang w:eastAsia="de-DE"/>
              </w:rPr>
            </w:pPr>
            <w:r w:rsidRPr="000615CC">
              <w:rPr>
                <w:rFonts w:eastAsia="Times New Roman"/>
                <w:lang w:eastAsia="de-DE"/>
              </w:rPr>
              <w:t>SWC</w:t>
            </w:r>
          </w:p>
        </w:tc>
        <w:tc>
          <w:tcPr>
            <w:tcW w:w="5760" w:type="dxa"/>
            <w:shd w:val="clear" w:color="auto" w:fill="auto"/>
          </w:tcPr>
          <w:p w14:paraId="67E756DD" w14:textId="77777777" w:rsidR="00486378" w:rsidRPr="000615CC" w:rsidRDefault="00486378" w:rsidP="00736598">
            <w:pPr>
              <w:pStyle w:val="BodyText"/>
              <w:rPr>
                <w:rFonts w:eastAsia="Times New Roman"/>
                <w:lang w:eastAsia="de-DE"/>
              </w:rPr>
            </w:pPr>
            <w:r w:rsidRPr="000615CC">
              <w:rPr>
                <w:rFonts w:eastAsia="Times New Roman"/>
                <w:lang w:eastAsia="de-DE"/>
              </w:rPr>
              <w:t>Schwergutcontainer</w:t>
            </w:r>
          </w:p>
        </w:tc>
      </w:tr>
      <w:tr w:rsidR="00486378" w:rsidRPr="000615CC" w14:paraId="2C557D4E" w14:textId="77777777" w:rsidTr="004E6DAB">
        <w:tc>
          <w:tcPr>
            <w:tcW w:w="2340" w:type="dxa"/>
            <w:shd w:val="clear" w:color="auto" w:fill="auto"/>
          </w:tcPr>
          <w:p w14:paraId="58A684EC" w14:textId="77777777" w:rsidR="00486378" w:rsidRPr="000615CC" w:rsidRDefault="00486378" w:rsidP="00736598">
            <w:pPr>
              <w:pStyle w:val="BodyText"/>
              <w:rPr>
                <w:rFonts w:eastAsia="Times New Roman"/>
                <w:lang w:eastAsia="de-DE"/>
              </w:rPr>
            </w:pPr>
            <w:r w:rsidRPr="000615CC">
              <w:rPr>
                <w:rFonts w:eastAsia="Times New Roman"/>
                <w:lang w:eastAsia="de-DE"/>
              </w:rPr>
              <w:t xml:space="preserve">E4 </w:t>
            </w:r>
            <w:proofErr w:type="spellStart"/>
            <w:r w:rsidRPr="000615CC">
              <w:rPr>
                <w:rFonts w:eastAsia="Times New Roman"/>
                <w:lang w:eastAsia="de-DE"/>
              </w:rPr>
              <w:t>Kart</w:t>
            </w:r>
            <w:proofErr w:type="spellEnd"/>
            <w:r w:rsidRPr="000615CC">
              <w:rPr>
                <w:rFonts w:eastAsia="Times New Roman"/>
                <w:lang w:eastAsia="de-DE"/>
              </w:rPr>
              <w:t>/Pal</w:t>
            </w:r>
          </w:p>
        </w:tc>
        <w:tc>
          <w:tcPr>
            <w:tcW w:w="5760" w:type="dxa"/>
            <w:shd w:val="clear" w:color="auto" w:fill="auto"/>
          </w:tcPr>
          <w:p w14:paraId="07463B16" w14:textId="77777777" w:rsidR="00486378" w:rsidRPr="000615CC" w:rsidRDefault="00486378" w:rsidP="00736598">
            <w:pPr>
              <w:pStyle w:val="BodyText"/>
              <w:rPr>
                <w:rFonts w:eastAsia="Times New Roman"/>
                <w:lang w:eastAsia="de-DE"/>
              </w:rPr>
            </w:pPr>
            <w:r w:rsidRPr="000615CC">
              <w:rPr>
                <w:rFonts w:eastAsia="Times New Roman"/>
                <w:lang w:eastAsia="de-DE"/>
              </w:rPr>
              <w:t>4 Einzelkartonagen auf Palette</w:t>
            </w:r>
          </w:p>
        </w:tc>
      </w:tr>
      <w:tr w:rsidR="00486378" w:rsidRPr="000615CC" w14:paraId="2C142C18" w14:textId="77777777" w:rsidTr="004E6DAB">
        <w:tc>
          <w:tcPr>
            <w:tcW w:w="2340" w:type="dxa"/>
            <w:shd w:val="clear" w:color="auto" w:fill="auto"/>
          </w:tcPr>
          <w:p w14:paraId="66B4E9A8" w14:textId="77777777" w:rsidR="00486378" w:rsidRPr="000615CC" w:rsidRDefault="00486378" w:rsidP="00736598">
            <w:pPr>
              <w:pStyle w:val="BodyText"/>
              <w:rPr>
                <w:rFonts w:eastAsia="Times New Roman"/>
                <w:lang w:eastAsia="de-DE"/>
              </w:rPr>
            </w:pPr>
            <w:r w:rsidRPr="000615CC">
              <w:rPr>
                <w:rFonts w:eastAsia="Times New Roman"/>
                <w:lang w:eastAsia="de-DE"/>
              </w:rPr>
              <w:t>LP- Zuschnitt</w:t>
            </w:r>
          </w:p>
        </w:tc>
        <w:tc>
          <w:tcPr>
            <w:tcW w:w="5760" w:type="dxa"/>
            <w:shd w:val="clear" w:color="auto" w:fill="auto"/>
          </w:tcPr>
          <w:p w14:paraId="4574C772" w14:textId="77777777" w:rsidR="00486378" w:rsidRPr="000615CC" w:rsidRDefault="00486378" w:rsidP="00736598">
            <w:pPr>
              <w:pStyle w:val="BodyText"/>
              <w:rPr>
                <w:rFonts w:eastAsia="Times New Roman"/>
                <w:lang w:eastAsia="de-DE"/>
              </w:rPr>
            </w:pPr>
            <w:r w:rsidRPr="000615CC">
              <w:rPr>
                <w:rFonts w:eastAsia="Times New Roman"/>
                <w:lang w:eastAsia="de-DE"/>
              </w:rPr>
              <w:t>Luftpolsterfolie- Zuschnitt</w:t>
            </w:r>
          </w:p>
        </w:tc>
      </w:tr>
      <w:tr w:rsidR="00486378" w:rsidRPr="000615CC" w14:paraId="2050F08D" w14:textId="77777777" w:rsidTr="004E6DAB">
        <w:tc>
          <w:tcPr>
            <w:tcW w:w="2340" w:type="dxa"/>
            <w:shd w:val="clear" w:color="auto" w:fill="auto"/>
          </w:tcPr>
          <w:p w14:paraId="1CEC59BB" w14:textId="77777777" w:rsidR="00486378" w:rsidRPr="000615CC" w:rsidRDefault="00486378" w:rsidP="00736598">
            <w:pPr>
              <w:pStyle w:val="BodyText"/>
              <w:rPr>
                <w:rFonts w:eastAsia="Times New Roman"/>
                <w:lang w:eastAsia="de-DE"/>
              </w:rPr>
            </w:pPr>
            <w:r w:rsidRPr="000615CC">
              <w:rPr>
                <w:rFonts w:eastAsia="Times New Roman"/>
                <w:lang w:eastAsia="de-DE"/>
              </w:rPr>
              <w:t>LP- Beutel</w:t>
            </w:r>
          </w:p>
        </w:tc>
        <w:tc>
          <w:tcPr>
            <w:tcW w:w="5760" w:type="dxa"/>
            <w:shd w:val="clear" w:color="auto" w:fill="auto"/>
          </w:tcPr>
          <w:p w14:paraId="323B1993" w14:textId="77777777" w:rsidR="00486378" w:rsidRPr="000615CC" w:rsidRDefault="00486378" w:rsidP="00736598">
            <w:pPr>
              <w:pStyle w:val="BodyText"/>
              <w:rPr>
                <w:rFonts w:eastAsia="Times New Roman"/>
                <w:lang w:eastAsia="de-DE"/>
              </w:rPr>
            </w:pPr>
            <w:r w:rsidRPr="000615CC">
              <w:rPr>
                <w:rFonts w:eastAsia="Times New Roman"/>
                <w:lang w:eastAsia="de-DE"/>
              </w:rPr>
              <w:t>Luftpolsterfolie- Beutel</w:t>
            </w:r>
          </w:p>
        </w:tc>
      </w:tr>
      <w:tr w:rsidR="00486378" w:rsidRPr="000615CC" w14:paraId="1A94AB67" w14:textId="77777777" w:rsidTr="004E6DAB">
        <w:tc>
          <w:tcPr>
            <w:tcW w:w="2340" w:type="dxa"/>
            <w:shd w:val="clear" w:color="auto" w:fill="auto"/>
          </w:tcPr>
          <w:p w14:paraId="5C290406" w14:textId="77777777" w:rsidR="00486378" w:rsidRPr="000615CC" w:rsidRDefault="00486378" w:rsidP="00736598">
            <w:pPr>
              <w:pStyle w:val="BodyText"/>
              <w:rPr>
                <w:rFonts w:eastAsia="Times New Roman"/>
                <w:lang w:eastAsia="de-DE"/>
              </w:rPr>
            </w:pPr>
            <w:r w:rsidRPr="000615CC">
              <w:rPr>
                <w:rFonts w:eastAsia="Times New Roman"/>
                <w:lang w:eastAsia="de-DE"/>
              </w:rPr>
              <w:t>PE- Beutel</w:t>
            </w:r>
          </w:p>
        </w:tc>
        <w:tc>
          <w:tcPr>
            <w:tcW w:w="5760" w:type="dxa"/>
            <w:shd w:val="clear" w:color="auto" w:fill="auto"/>
          </w:tcPr>
          <w:p w14:paraId="2C8C39DD" w14:textId="77777777" w:rsidR="00486378" w:rsidRPr="000615CC" w:rsidRDefault="00486378" w:rsidP="00736598">
            <w:pPr>
              <w:pStyle w:val="BodyText"/>
              <w:rPr>
                <w:rFonts w:eastAsia="Times New Roman"/>
                <w:lang w:eastAsia="de-DE"/>
              </w:rPr>
            </w:pPr>
            <w:r w:rsidRPr="000615CC">
              <w:rPr>
                <w:rFonts w:eastAsia="Times New Roman"/>
                <w:lang w:eastAsia="de-DE"/>
              </w:rPr>
              <w:t xml:space="preserve">Polyethylen- Beutel </w:t>
            </w:r>
          </w:p>
        </w:tc>
      </w:tr>
      <w:tr w:rsidR="00486378" w:rsidRPr="000615CC" w14:paraId="67DA688F" w14:textId="77777777" w:rsidTr="004E6DAB">
        <w:tc>
          <w:tcPr>
            <w:tcW w:w="2340" w:type="dxa"/>
            <w:shd w:val="clear" w:color="auto" w:fill="auto"/>
          </w:tcPr>
          <w:p w14:paraId="54805945" w14:textId="77777777" w:rsidR="00486378" w:rsidRPr="000615CC" w:rsidRDefault="00486378" w:rsidP="00736598">
            <w:pPr>
              <w:pStyle w:val="BodyText"/>
              <w:rPr>
                <w:rFonts w:eastAsia="Times New Roman"/>
                <w:lang w:eastAsia="de-DE"/>
              </w:rPr>
            </w:pPr>
            <w:r w:rsidRPr="000615CC">
              <w:rPr>
                <w:rFonts w:eastAsia="Times New Roman"/>
                <w:lang w:eastAsia="de-DE"/>
              </w:rPr>
              <w:t>PP- Klebeband</w:t>
            </w:r>
          </w:p>
        </w:tc>
        <w:tc>
          <w:tcPr>
            <w:tcW w:w="5760" w:type="dxa"/>
            <w:shd w:val="clear" w:color="auto" w:fill="auto"/>
          </w:tcPr>
          <w:p w14:paraId="5AED9783" w14:textId="77777777" w:rsidR="00486378" w:rsidRPr="000615CC" w:rsidRDefault="00486378" w:rsidP="00736598">
            <w:pPr>
              <w:pStyle w:val="BodyText"/>
              <w:rPr>
                <w:rFonts w:eastAsia="Times New Roman"/>
                <w:lang w:eastAsia="de-DE"/>
              </w:rPr>
            </w:pPr>
            <w:r w:rsidRPr="000615CC">
              <w:rPr>
                <w:rFonts w:eastAsia="Times New Roman"/>
                <w:lang w:eastAsia="de-DE"/>
              </w:rPr>
              <w:t xml:space="preserve">Polypropylen- Klebeband </w:t>
            </w:r>
          </w:p>
        </w:tc>
      </w:tr>
      <w:tr w:rsidR="00486378" w:rsidRPr="000615CC" w14:paraId="73C4ACD1" w14:textId="77777777" w:rsidTr="004E6DAB">
        <w:tc>
          <w:tcPr>
            <w:tcW w:w="2340" w:type="dxa"/>
            <w:shd w:val="clear" w:color="auto" w:fill="auto"/>
          </w:tcPr>
          <w:p w14:paraId="40EA2C56" w14:textId="77777777" w:rsidR="00486378" w:rsidRPr="000615CC" w:rsidRDefault="00486378" w:rsidP="00736598">
            <w:pPr>
              <w:pStyle w:val="BodyText"/>
              <w:rPr>
                <w:rFonts w:eastAsia="Times New Roman"/>
                <w:lang w:eastAsia="de-DE"/>
              </w:rPr>
            </w:pPr>
            <w:r w:rsidRPr="000615CC">
              <w:rPr>
                <w:rFonts w:eastAsia="Times New Roman"/>
                <w:lang w:eastAsia="de-DE"/>
              </w:rPr>
              <w:t>JAC ETIKETTE</w:t>
            </w:r>
          </w:p>
        </w:tc>
        <w:tc>
          <w:tcPr>
            <w:tcW w:w="5760" w:type="dxa"/>
            <w:shd w:val="clear" w:color="auto" w:fill="auto"/>
          </w:tcPr>
          <w:p w14:paraId="72B3B8C7" w14:textId="77777777" w:rsidR="00486378" w:rsidRPr="000615CC" w:rsidRDefault="00486378" w:rsidP="00736598">
            <w:pPr>
              <w:pStyle w:val="BodyText"/>
              <w:rPr>
                <w:rFonts w:eastAsia="Times New Roman"/>
                <w:lang w:eastAsia="de-DE"/>
              </w:rPr>
            </w:pPr>
            <w:r w:rsidRPr="000615CC">
              <w:rPr>
                <w:rFonts w:eastAsia="Times New Roman"/>
                <w:lang w:eastAsia="de-DE"/>
              </w:rPr>
              <w:t>Etiketten (Selbstklebeetiketten)</w:t>
            </w:r>
          </w:p>
        </w:tc>
      </w:tr>
      <w:tr w:rsidR="00486378" w:rsidRPr="000615CC" w14:paraId="7BB23204" w14:textId="77777777" w:rsidTr="004E6DAB">
        <w:tc>
          <w:tcPr>
            <w:tcW w:w="2340" w:type="dxa"/>
            <w:shd w:val="clear" w:color="auto" w:fill="auto"/>
          </w:tcPr>
          <w:p w14:paraId="5B26B7F3" w14:textId="77777777" w:rsidR="00486378" w:rsidRPr="000615CC" w:rsidRDefault="00486378" w:rsidP="00736598">
            <w:pPr>
              <w:pStyle w:val="BodyText"/>
              <w:rPr>
                <w:rFonts w:eastAsia="Times New Roman"/>
                <w:lang w:eastAsia="de-DE"/>
              </w:rPr>
            </w:pPr>
            <w:r w:rsidRPr="000615CC">
              <w:rPr>
                <w:rFonts w:eastAsia="Times New Roman"/>
                <w:lang w:eastAsia="de-DE"/>
              </w:rPr>
              <w:t>WP</w:t>
            </w:r>
          </w:p>
        </w:tc>
        <w:tc>
          <w:tcPr>
            <w:tcW w:w="5760" w:type="dxa"/>
            <w:shd w:val="clear" w:color="auto" w:fill="auto"/>
          </w:tcPr>
          <w:p w14:paraId="776BC003" w14:textId="77777777" w:rsidR="00486378" w:rsidRPr="000615CC" w:rsidRDefault="00486378" w:rsidP="00736598">
            <w:pPr>
              <w:pStyle w:val="BodyText"/>
              <w:rPr>
                <w:rFonts w:eastAsia="Times New Roman"/>
                <w:lang w:eastAsia="de-DE"/>
              </w:rPr>
            </w:pPr>
            <w:r w:rsidRPr="000615CC">
              <w:rPr>
                <w:rFonts w:eastAsia="Times New Roman"/>
                <w:lang w:eastAsia="de-DE"/>
              </w:rPr>
              <w:t>Wellpappe</w:t>
            </w:r>
          </w:p>
        </w:tc>
      </w:tr>
      <w:tr w:rsidR="00486378" w:rsidRPr="000615CC" w14:paraId="680A3458" w14:textId="77777777" w:rsidTr="004E6DAB">
        <w:tc>
          <w:tcPr>
            <w:tcW w:w="2340" w:type="dxa"/>
            <w:shd w:val="clear" w:color="auto" w:fill="auto"/>
          </w:tcPr>
          <w:p w14:paraId="7E35B843" w14:textId="77777777" w:rsidR="00486378" w:rsidRPr="000615CC" w:rsidRDefault="00486378" w:rsidP="00736598">
            <w:pPr>
              <w:pStyle w:val="BodyText"/>
              <w:rPr>
                <w:rFonts w:eastAsia="Times New Roman"/>
                <w:lang w:eastAsia="de-DE"/>
              </w:rPr>
            </w:pPr>
            <w:r w:rsidRPr="000615CC">
              <w:rPr>
                <w:rFonts w:eastAsia="Times New Roman"/>
                <w:lang w:eastAsia="de-DE"/>
              </w:rPr>
              <w:t>MF- Behälter</w:t>
            </w:r>
          </w:p>
        </w:tc>
        <w:tc>
          <w:tcPr>
            <w:tcW w:w="5760" w:type="dxa"/>
            <w:shd w:val="clear" w:color="auto" w:fill="auto"/>
          </w:tcPr>
          <w:p w14:paraId="6DEAE96F" w14:textId="77777777" w:rsidR="00486378" w:rsidRPr="000615CC" w:rsidRDefault="00486378" w:rsidP="00736598">
            <w:pPr>
              <w:pStyle w:val="BodyText"/>
              <w:rPr>
                <w:rFonts w:eastAsia="Times New Roman"/>
                <w:lang w:eastAsia="de-DE"/>
              </w:rPr>
            </w:pPr>
            <w:r w:rsidRPr="000615CC">
              <w:rPr>
                <w:rFonts w:eastAsia="Times New Roman"/>
                <w:lang w:eastAsia="de-DE"/>
              </w:rPr>
              <w:t>Multi-Funktionsbehälter</w:t>
            </w:r>
          </w:p>
        </w:tc>
      </w:tr>
      <w:tr w:rsidR="00486378" w:rsidRPr="000615CC" w14:paraId="507D4F38" w14:textId="77777777" w:rsidTr="004E6DAB">
        <w:tc>
          <w:tcPr>
            <w:tcW w:w="2340" w:type="dxa"/>
            <w:shd w:val="clear" w:color="auto" w:fill="auto"/>
          </w:tcPr>
          <w:p w14:paraId="6A86F8E5" w14:textId="77777777" w:rsidR="00486378" w:rsidRPr="000615CC" w:rsidRDefault="00486378" w:rsidP="00736598">
            <w:pPr>
              <w:pStyle w:val="BodyText"/>
              <w:rPr>
                <w:rFonts w:eastAsia="Times New Roman"/>
                <w:lang w:eastAsia="de-DE"/>
              </w:rPr>
            </w:pPr>
            <w:r w:rsidRPr="000615CC">
              <w:rPr>
                <w:rFonts w:eastAsia="Times New Roman"/>
                <w:lang w:eastAsia="de-DE"/>
              </w:rPr>
              <w:t>VHB/</w:t>
            </w:r>
            <w:proofErr w:type="spellStart"/>
            <w:r w:rsidRPr="000615CC">
              <w:rPr>
                <w:rFonts w:eastAsia="Times New Roman"/>
                <w:lang w:eastAsia="de-DE"/>
              </w:rPr>
              <w:t>Log.HB</w:t>
            </w:r>
            <w:proofErr w:type="spellEnd"/>
          </w:p>
        </w:tc>
        <w:tc>
          <w:tcPr>
            <w:tcW w:w="5760" w:type="dxa"/>
            <w:shd w:val="clear" w:color="auto" w:fill="auto"/>
          </w:tcPr>
          <w:p w14:paraId="57075CBB" w14:textId="77777777" w:rsidR="00486378" w:rsidRPr="000615CC" w:rsidRDefault="00486378" w:rsidP="00736598">
            <w:pPr>
              <w:pStyle w:val="BodyText"/>
              <w:rPr>
                <w:rFonts w:eastAsia="Times New Roman"/>
                <w:lang w:eastAsia="de-DE"/>
              </w:rPr>
            </w:pPr>
            <w:r w:rsidRPr="000615CC">
              <w:rPr>
                <w:rFonts w:eastAsia="Times New Roman"/>
                <w:lang w:eastAsia="de-DE"/>
              </w:rPr>
              <w:t>Verpackungshandbuch/Logistikhandbuch</w:t>
            </w:r>
          </w:p>
        </w:tc>
      </w:tr>
      <w:tr w:rsidR="00486378" w:rsidRPr="000615CC" w14:paraId="1FBACFDF" w14:textId="77777777" w:rsidTr="004E6DAB">
        <w:tc>
          <w:tcPr>
            <w:tcW w:w="2340" w:type="dxa"/>
            <w:shd w:val="clear" w:color="auto" w:fill="auto"/>
          </w:tcPr>
          <w:p w14:paraId="7254F6A6" w14:textId="77777777" w:rsidR="00486378" w:rsidRPr="000615CC" w:rsidRDefault="00486378" w:rsidP="00736598">
            <w:pPr>
              <w:pStyle w:val="BodyText"/>
              <w:rPr>
                <w:rFonts w:eastAsia="Times New Roman"/>
                <w:lang w:eastAsia="de-DE"/>
              </w:rPr>
            </w:pPr>
            <w:r w:rsidRPr="000615CC">
              <w:rPr>
                <w:rFonts w:eastAsia="Times New Roman"/>
                <w:lang w:eastAsia="de-DE"/>
              </w:rPr>
              <w:t>GP</w:t>
            </w:r>
          </w:p>
        </w:tc>
        <w:tc>
          <w:tcPr>
            <w:tcW w:w="5760" w:type="dxa"/>
            <w:shd w:val="clear" w:color="auto" w:fill="auto"/>
          </w:tcPr>
          <w:p w14:paraId="4087404E" w14:textId="77777777" w:rsidR="00486378" w:rsidRPr="000615CC" w:rsidRDefault="00486378" w:rsidP="00736598">
            <w:pPr>
              <w:pStyle w:val="BodyText"/>
              <w:rPr>
                <w:rFonts w:eastAsia="Times New Roman"/>
                <w:lang w:eastAsia="de-DE"/>
              </w:rPr>
            </w:pPr>
            <w:r w:rsidRPr="000615CC">
              <w:rPr>
                <w:rFonts w:eastAsia="Times New Roman"/>
                <w:lang w:eastAsia="de-DE"/>
              </w:rPr>
              <w:t>Graupappe</w:t>
            </w:r>
          </w:p>
        </w:tc>
      </w:tr>
      <w:tr w:rsidR="00486378" w:rsidRPr="000615CC" w14:paraId="1C8525E4" w14:textId="77777777" w:rsidTr="004E6DAB">
        <w:tc>
          <w:tcPr>
            <w:tcW w:w="2340" w:type="dxa"/>
            <w:shd w:val="clear" w:color="auto" w:fill="auto"/>
          </w:tcPr>
          <w:p w14:paraId="5CC56830" w14:textId="77777777" w:rsidR="00486378" w:rsidRPr="000615CC" w:rsidRDefault="00486378" w:rsidP="00736598">
            <w:pPr>
              <w:pStyle w:val="BodyText"/>
              <w:rPr>
                <w:rFonts w:eastAsia="Times New Roman"/>
                <w:lang w:eastAsia="de-DE"/>
              </w:rPr>
            </w:pPr>
            <w:r w:rsidRPr="000615CC">
              <w:rPr>
                <w:rFonts w:eastAsia="Times New Roman"/>
                <w:lang w:eastAsia="de-DE"/>
              </w:rPr>
              <w:t>EPP</w:t>
            </w:r>
          </w:p>
        </w:tc>
        <w:tc>
          <w:tcPr>
            <w:tcW w:w="5760" w:type="dxa"/>
            <w:shd w:val="clear" w:color="auto" w:fill="auto"/>
          </w:tcPr>
          <w:p w14:paraId="1C3AF2E6" w14:textId="77777777" w:rsidR="00486378" w:rsidRPr="000615CC" w:rsidRDefault="00486378" w:rsidP="00736598">
            <w:pPr>
              <w:pStyle w:val="BodyText"/>
              <w:rPr>
                <w:rFonts w:eastAsia="Times New Roman"/>
                <w:lang w:eastAsia="de-DE"/>
              </w:rPr>
            </w:pPr>
            <w:proofErr w:type="spellStart"/>
            <w:r w:rsidRPr="000615CC">
              <w:rPr>
                <w:rFonts w:eastAsia="Times New Roman"/>
                <w:lang w:eastAsia="de-DE"/>
              </w:rPr>
              <w:t>Extrodiertes</w:t>
            </w:r>
            <w:proofErr w:type="spellEnd"/>
            <w:r w:rsidRPr="000615CC">
              <w:rPr>
                <w:rFonts w:eastAsia="Times New Roman"/>
                <w:lang w:eastAsia="de-DE"/>
              </w:rPr>
              <w:t xml:space="preserve"> Polypropylen</w:t>
            </w:r>
          </w:p>
        </w:tc>
      </w:tr>
      <w:tr w:rsidR="00486378" w:rsidRPr="000615CC" w14:paraId="78DF6260" w14:textId="77777777" w:rsidTr="004E6DAB">
        <w:tc>
          <w:tcPr>
            <w:tcW w:w="2340" w:type="dxa"/>
            <w:shd w:val="clear" w:color="auto" w:fill="auto"/>
          </w:tcPr>
          <w:p w14:paraId="3B0B687B" w14:textId="77777777" w:rsidR="00486378" w:rsidRPr="000615CC" w:rsidRDefault="00486378" w:rsidP="00736598">
            <w:pPr>
              <w:pStyle w:val="BodyText"/>
              <w:rPr>
                <w:rFonts w:eastAsia="Times New Roman"/>
                <w:lang w:eastAsia="de-DE"/>
              </w:rPr>
            </w:pPr>
            <w:r w:rsidRPr="000615CC">
              <w:rPr>
                <w:rFonts w:eastAsia="Times New Roman"/>
                <w:lang w:eastAsia="de-DE"/>
              </w:rPr>
              <w:t>ABS</w:t>
            </w:r>
          </w:p>
        </w:tc>
        <w:tc>
          <w:tcPr>
            <w:tcW w:w="5760" w:type="dxa"/>
            <w:shd w:val="clear" w:color="auto" w:fill="auto"/>
          </w:tcPr>
          <w:p w14:paraId="3FB4098E" w14:textId="77777777" w:rsidR="00486378" w:rsidRPr="000615CC" w:rsidRDefault="00486378" w:rsidP="00736598">
            <w:pPr>
              <w:pStyle w:val="BodyText"/>
              <w:rPr>
                <w:rFonts w:eastAsia="Times New Roman"/>
                <w:lang w:eastAsia="de-DE"/>
              </w:rPr>
            </w:pPr>
            <w:r w:rsidRPr="000615CC">
              <w:rPr>
                <w:rFonts w:eastAsia="Times New Roman"/>
                <w:lang w:eastAsia="de-DE"/>
              </w:rPr>
              <w:t>Acrylnitril-Butyl-Styrol</w:t>
            </w:r>
          </w:p>
        </w:tc>
      </w:tr>
      <w:tr w:rsidR="00486378" w:rsidRPr="000615CC" w14:paraId="104D78C8" w14:textId="77777777" w:rsidTr="004E6DAB">
        <w:tc>
          <w:tcPr>
            <w:tcW w:w="2340" w:type="dxa"/>
            <w:shd w:val="clear" w:color="auto" w:fill="auto"/>
          </w:tcPr>
          <w:p w14:paraId="2CCDFC41" w14:textId="77777777" w:rsidR="00486378" w:rsidRPr="000615CC" w:rsidRDefault="00486378" w:rsidP="00736598">
            <w:pPr>
              <w:pStyle w:val="BodyText"/>
              <w:rPr>
                <w:rFonts w:eastAsia="Times New Roman"/>
                <w:lang w:eastAsia="de-DE"/>
              </w:rPr>
            </w:pPr>
            <w:r w:rsidRPr="000615CC">
              <w:rPr>
                <w:rFonts w:eastAsia="Times New Roman"/>
                <w:lang w:eastAsia="de-DE"/>
              </w:rPr>
              <w:t>VSE</w:t>
            </w:r>
          </w:p>
        </w:tc>
        <w:tc>
          <w:tcPr>
            <w:tcW w:w="5760" w:type="dxa"/>
            <w:shd w:val="clear" w:color="auto" w:fill="auto"/>
          </w:tcPr>
          <w:p w14:paraId="75531B5B" w14:textId="77777777" w:rsidR="00486378" w:rsidRPr="000615CC" w:rsidRDefault="00486378" w:rsidP="00736598">
            <w:pPr>
              <w:pStyle w:val="BodyText"/>
              <w:rPr>
                <w:rFonts w:eastAsia="Times New Roman"/>
                <w:lang w:eastAsia="de-DE"/>
              </w:rPr>
            </w:pPr>
            <w:r w:rsidRPr="000615CC">
              <w:rPr>
                <w:rFonts w:eastAsia="Times New Roman"/>
                <w:lang w:eastAsia="de-DE"/>
              </w:rPr>
              <w:t>Versandeinheit</w:t>
            </w:r>
          </w:p>
        </w:tc>
      </w:tr>
      <w:tr w:rsidR="00486378" w:rsidRPr="000615CC" w14:paraId="75A9E454" w14:textId="77777777" w:rsidTr="004E6DAB">
        <w:tc>
          <w:tcPr>
            <w:tcW w:w="2340" w:type="dxa"/>
            <w:shd w:val="clear" w:color="auto" w:fill="auto"/>
          </w:tcPr>
          <w:p w14:paraId="071F5AEA" w14:textId="77777777" w:rsidR="00486378" w:rsidRPr="000615CC" w:rsidRDefault="00486378" w:rsidP="00736598">
            <w:pPr>
              <w:pStyle w:val="BodyText"/>
              <w:rPr>
                <w:rFonts w:eastAsia="Times New Roman"/>
                <w:lang w:eastAsia="de-DE"/>
              </w:rPr>
            </w:pPr>
            <w:r w:rsidRPr="000615CC">
              <w:rPr>
                <w:rFonts w:eastAsia="Times New Roman"/>
                <w:lang w:eastAsia="de-DE"/>
              </w:rPr>
              <w:t>EURO-PAL</w:t>
            </w:r>
          </w:p>
        </w:tc>
        <w:tc>
          <w:tcPr>
            <w:tcW w:w="5760" w:type="dxa"/>
            <w:shd w:val="clear" w:color="auto" w:fill="auto"/>
          </w:tcPr>
          <w:p w14:paraId="58EF76B5" w14:textId="77777777" w:rsidR="00486378" w:rsidRPr="000615CC" w:rsidRDefault="00486378" w:rsidP="00736598">
            <w:pPr>
              <w:pStyle w:val="BodyText"/>
              <w:rPr>
                <w:rFonts w:eastAsia="Times New Roman"/>
                <w:highlight w:val="yellow"/>
                <w:lang w:eastAsia="de-DE"/>
              </w:rPr>
            </w:pPr>
            <w:r w:rsidRPr="000615CC">
              <w:rPr>
                <w:rFonts w:eastAsia="Times New Roman"/>
                <w:lang w:eastAsia="de-DE"/>
              </w:rPr>
              <w:t>Pool-Flachpalette aus Holz nach UIC 435-2</w:t>
            </w:r>
          </w:p>
        </w:tc>
      </w:tr>
    </w:tbl>
    <w:p w14:paraId="11A95DE9" w14:textId="77777777" w:rsidR="00486378" w:rsidRPr="00486378" w:rsidRDefault="00486378" w:rsidP="00736598">
      <w:pPr>
        <w:pStyle w:val="b3"/>
        <w:rPr>
          <w:lang w:eastAsia="de-DE"/>
        </w:rPr>
      </w:pPr>
      <w:bookmarkStart w:id="72" w:name="Begriffserklärungen"/>
      <w:bookmarkStart w:id="73" w:name="_Toc179342324"/>
      <w:r w:rsidRPr="00486378">
        <w:rPr>
          <w:lang w:eastAsia="de-DE"/>
        </w:rPr>
        <w:t>Begriffserklärungen</w:t>
      </w:r>
      <w:bookmarkEnd w:id="72"/>
      <w:bookmarkEnd w:id="73"/>
    </w:p>
    <w:p w14:paraId="29845CA2" w14:textId="77777777" w:rsidR="00486378" w:rsidRPr="00486378" w:rsidRDefault="00486378" w:rsidP="00736598">
      <w:pPr>
        <w:pStyle w:val="BodyText"/>
        <w:rPr>
          <w:lang w:eastAsia="de-DE"/>
        </w:rPr>
      </w:pPr>
      <w:r w:rsidRPr="00486378">
        <w:rPr>
          <w:lang w:eastAsia="de-DE"/>
        </w:rPr>
        <w:t>In den nachfolgenden Kapiteln werden verschiedene Begriffe aus dem Verpackungsmanagement verwendet. Die nachfolgend aufgeführten Begriffserklärungen sollen zu deren Verständnis beitragen.</w:t>
      </w:r>
    </w:p>
    <w:p w14:paraId="55E2740A" w14:textId="77777777" w:rsidR="00486378" w:rsidRDefault="00486378" w:rsidP="00736598">
      <w:pPr>
        <w:pStyle w:val="BodyText"/>
        <w:rPr>
          <w:lang w:eastAsia="de-DE"/>
        </w:rPr>
      </w:pPr>
    </w:p>
    <w:p w14:paraId="6B8A7E85" w14:textId="77777777" w:rsidR="004733E5" w:rsidRPr="00486378" w:rsidRDefault="004733E5" w:rsidP="00736598">
      <w:pPr>
        <w:pStyle w:val="BodyText"/>
        <w:rPr>
          <w:lang w:eastAsia="de-DE"/>
        </w:rPr>
      </w:pPr>
    </w:p>
    <w:p w14:paraId="3B249AD2" w14:textId="77777777" w:rsidR="00486378" w:rsidRPr="00486378" w:rsidRDefault="00486378" w:rsidP="00736598">
      <w:pPr>
        <w:pStyle w:val="Textkrper-Aufzhlung"/>
      </w:pPr>
      <w:r w:rsidRPr="004733E5">
        <w:rPr>
          <w:b/>
        </w:rPr>
        <w:t>Transportmittel / Packmittel / Ladungsträger</w:t>
      </w:r>
      <w:r w:rsidR="004733E5">
        <w:rPr>
          <w:b/>
        </w:rPr>
        <w:br/>
      </w:r>
      <w:r w:rsidRPr="00486378">
        <w:t>Transportmittel / Packmittel / Ladungsträger sind aus unterschiedlichen Materialien (z.B. Metall, Kunststoff, Holz, Karton) hergestellte Behältnisse (z.B. Behälter, Kiste, Schachtel) in denen Teile transportiert, gelagert und vor Beschädigung geschützt werden.</w:t>
      </w:r>
    </w:p>
    <w:p w14:paraId="0654305A" w14:textId="77777777" w:rsidR="00486378" w:rsidRPr="00486378" w:rsidRDefault="00486378" w:rsidP="00736598">
      <w:pPr>
        <w:pStyle w:val="BodyText"/>
        <w:rPr>
          <w:lang w:eastAsia="de-DE"/>
        </w:rPr>
      </w:pPr>
    </w:p>
    <w:p w14:paraId="66CF99CD" w14:textId="77777777" w:rsidR="00486378" w:rsidRPr="00736598" w:rsidRDefault="00486378" w:rsidP="004733E5">
      <w:pPr>
        <w:pStyle w:val="Textkrper-Aufzhlung"/>
        <w:numPr>
          <w:ilvl w:val="0"/>
          <w:numId w:val="0"/>
        </w:numPr>
        <w:ind w:left="357"/>
        <w:rPr>
          <w:rStyle w:val="BodyTextChar"/>
        </w:rPr>
      </w:pPr>
      <w:r w:rsidRPr="004733E5">
        <w:rPr>
          <w:b/>
        </w:rPr>
        <w:t>Universell</w:t>
      </w:r>
      <w:r w:rsidR="004733E5">
        <w:rPr>
          <w:b/>
        </w:rPr>
        <w:br/>
      </w:r>
      <w:r w:rsidRPr="00736598">
        <w:rPr>
          <w:rStyle w:val="BodyTextChar"/>
        </w:rPr>
        <w:t>universelle Transport- /Packmittel sind für alle Lieferteile, mit Ausnahme von Lieferteilen mit spezieller Geometrie, verwendbar.</w:t>
      </w:r>
    </w:p>
    <w:p w14:paraId="454C34A6" w14:textId="77777777" w:rsidR="00486378" w:rsidRPr="00486378" w:rsidRDefault="00486378" w:rsidP="004733E5">
      <w:pPr>
        <w:pStyle w:val="BodyText"/>
        <w:rPr>
          <w:lang w:eastAsia="de-DE"/>
        </w:rPr>
      </w:pPr>
    </w:p>
    <w:p w14:paraId="178CA2B8" w14:textId="77777777" w:rsidR="00486378" w:rsidRPr="00486378" w:rsidRDefault="00486378" w:rsidP="00736598">
      <w:pPr>
        <w:pStyle w:val="Textkrper-Aufzhlung"/>
      </w:pPr>
      <w:r w:rsidRPr="00736598">
        <w:rPr>
          <w:b/>
        </w:rPr>
        <w:t>Speziell</w:t>
      </w:r>
      <w:r w:rsidR="004733E5">
        <w:rPr>
          <w:b/>
        </w:rPr>
        <w:br/>
      </w:r>
      <w:r w:rsidRPr="00486378">
        <w:t>Extra für eine besondere Geometrie des Lieferteils gefertigtes Transport-/Packmittel.</w:t>
      </w:r>
    </w:p>
    <w:p w14:paraId="094B1B3A" w14:textId="77777777" w:rsidR="00486378" w:rsidRPr="00486378" w:rsidRDefault="00486378" w:rsidP="004733E5">
      <w:pPr>
        <w:pStyle w:val="BodyText"/>
        <w:rPr>
          <w:lang w:eastAsia="de-DE"/>
        </w:rPr>
      </w:pPr>
    </w:p>
    <w:p w14:paraId="21604442" w14:textId="77777777" w:rsidR="00486378" w:rsidRPr="00486378" w:rsidRDefault="00486378" w:rsidP="004733E5">
      <w:pPr>
        <w:pStyle w:val="Textkrper-Aufzhlung"/>
      </w:pPr>
      <w:r w:rsidRPr="004733E5">
        <w:rPr>
          <w:b/>
        </w:rPr>
        <w:t>Packhilfsmittel</w:t>
      </w:r>
      <w:r w:rsidR="004733E5">
        <w:rPr>
          <w:b/>
        </w:rPr>
        <w:br/>
      </w:r>
      <w:proofErr w:type="spellStart"/>
      <w:r w:rsidRPr="00486378">
        <w:t>Packhilfsmittel</w:t>
      </w:r>
      <w:proofErr w:type="spellEnd"/>
      <w:r w:rsidRPr="00486378">
        <w:t xml:space="preserve"> ist das Zubehör, das neben dem Verschließen der Transport-/Packmittel auch zum Schutz des Packgutes dient (z.B. </w:t>
      </w:r>
      <w:proofErr w:type="spellStart"/>
      <w:r w:rsidRPr="00486378">
        <w:t>Stretchfolie</w:t>
      </w:r>
      <w:proofErr w:type="spellEnd"/>
      <w:r w:rsidRPr="00486378">
        <w:t>, Rostschutzpapier, Umreifungsband).</w:t>
      </w:r>
    </w:p>
    <w:p w14:paraId="052756B2" w14:textId="77777777" w:rsidR="00486378" w:rsidRPr="00486378" w:rsidRDefault="00486378" w:rsidP="004733E5">
      <w:pPr>
        <w:pStyle w:val="BodyText"/>
        <w:rPr>
          <w:lang w:eastAsia="de-DE"/>
        </w:rPr>
      </w:pPr>
    </w:p>
    <w:p w14:paraId="51359F6A" w14:textId="77777777" w:rsidR="00486378" w:rsidRPr="00486378" w:rsidRDefault="00486378" w:rsidP="00736598">
      <w:pPr>
        <w:pStyle w:val="Textkrper-Aufzhlung"/>
      </w:pPr>
      <w:r w:rsidRPr="004733E5">
        <w:rPr>
          <w:b/>
        </w:rPr>
        <w:t>Verpackung</w:t>
      </w:r>
      <w:r w:rsidR="004733E5">
        <w:rPr>
          <w:b/>
        </w:rPr>
        <w:br/>
      </w:r>
      <w:proofErr w:type="spellStart"/>
      <w:r w:rsidRPr="00486378">
        <w:t>Verpackung</w:t>
      </w:r>
      <w:proofErr w:type="spellEnd"/>
      <w:r w:rsidRPr="00486378">
        <w:t xml:space="preserve"> ist die Kombination von Transport-/Packmittel und Packhilfsmittel.</w:t>
      </w:r>
    </w:p>
    <w:p w14:paraId="11317A8E" w14:textId="77777777" w:rsidR="00486378" w:rsidRPr="00486378" w:rsidRDefault="00486378" w:rsidP="00736598">
      <w:pPr>
        <w:pStyle w:val="BodyText"/>
        <w:rPr>
          <w:lang w:eastAsia="de-DE"/>
        </w:rPr>
      </w:pPr>
    </w:p>
    <w:p w14:paraId="32375348" w14:textId="77777777" w:rsidR="00486378" w:rsidRPr="00486378" w:rsidRDefault="00486378" w:rsidP="00736598">
      <w:pPr>
        <w:pStyle w:val="Textkrper-Aufzhlung"/>
      </w:pPr>
      <w:r w:rsidRPr="004733E5">
        <w:rPr>
          <w:b/>
        </w:rPr>
        <w:t>Packstück/Versandeinheit (VSE)</w:t>
      </w:r>
      <w:r w:rsidR="004733E5">
        <w:rPr>
          <w:b/>
        </w:rPr>
        <w:br/>
      </w:r>
      <w:r w:rsidRPr="00486378">
        <w:t>Ein Packstück bzw. eine VSE ist die Gesamtheit aller Transport-/Packmittel und Packhilfsmittel die bei Anlieferung als eine Einheit zu sehen sind. Beispiele für Packstücke/VSE sind die Kombinationen aus:</w:t>
      </w:r>
    </w:p>
    <w:p w14:paraId="0F82C5C1" w14:textId="77777777" w:rsidR="00486378" w:rsidRPr="006626E3" w:rsidRDefault="00486378" w:rsidP="00736598">
      <w:pPr>
        <w:pStyle w:val="Textkrper-Aufzhlung2"/>
        <w:rPr>
          <w:lang w:val="de-DE"/>
        </w:rPr>
      </w:pPr>
      <w:r w:rsidRPr="006626E3">
        <w:rPr>
          <w:lang w:val="de-DE"/>
        </w:rPr>
        <w:t>Palette (EURO-PAL.), Behälter (KLT), Deckel (KLT- Deckel) und Formeinlage/Werkstückträger</w:t>
      </w:r>
    </w:p>
    <w:p w14:paraId="26E9335D" w14:textId="77777777" w:rsidR="00486378" w:rsidRPr="00486378" w:rsidRDefault="00486378" w:rsidP="00486378">
      <w:pPr>
        <w:ind w:left="720" w:hanging="15"/>
        <w:jc w:val="both"/>
        <w:rPr>
          <w:rFonts w:eastAsia="Times New Roman"/>
          <w:sz w:val="22"/>
          <w:szCs w:val="22"/>
          <w:lang w:eastAsia="de-DE"/>
        </w:rPr>
      </w:pPr>
    </w:p>
    <w:p w14:paraId="5B643DBE" w14:textId="77777777" w:rsidR="00486378" w:rsidRPr="00486378" w:rsidRDefault="00486378" w:rsidP="004733E5">
      <w:pPr>
        <w:pStyle w:val="BodyText"/>
        <w:ind w:left="426"/>
        <w:rPr>
          <w:lang w:eastAsia="de-DE"/>
        </w:rPr>
      </w:pPr>
      <w:r w:rsidRPr="00486378">
        <w:rPr>
          <w:lang w:eastAsia="de-DE"/>
        </w:rPr>
        <w:t>oder</w:t>
      </w:r>
    </w:p>
    <w:p w14:paraId="2FA17C63" w14:textId="77777777" w:rsidR="00486378" w:rsidRPr="004733E5" w:rsidRDefault="00486378" w:rsidP="004733E5">
      <w:pPr>
        <w:pStyle w:val="Textkrper-Aufzhlung2"/>
        <w:numPr>
          <w:ilvl w:val="0"/>
          <w:numId w:val="0"/>
        </w:numPr>
        <w:ind w:left="426"/>
        <w:rPr>
          <w:lang w:val="de-DE"/>
        </w:rPr>
      </w:pPr>
    </w:p>
    <w:p w14:paraId="612DBE0D" w14:textId="77777777" w:rsidR="004733E5" w:rsidRDefault="00486378" w:rsidP="00736598">
      <w:pPr>
        <w:pStyle w:val="Textkrper-Aufzhlung2"/>
      </w:pPr>
      <w:r w:rsidRPr="004733E5">
        <w:rPr>
          <w:lang w:val="de-DE"/>
        </w:rPr>
        <w:t xml:space="preserve">Gitterbox, Werkstückträger und </w:t>
      </w:r>
      <w:proofErr w:type="spellStart"/>
      <w:r w:rsidRPr="00486378">
        <w:t>Packhilfsmittel</w:t>
      </w:r>
      <w:proofErr w:type="spellEnd"/>
    </w:p>
    <w:p w14:paraId="32E0DBA1" w14:textId="77777777" w:rsidR="00486378" w:rsidRPr="007D1FBB" w:rsidRDefault="00736598" w:rsidP="007D1FBB">
      <w:pPr>
        <w:pStyle w:val="Textkrper-Aufzhlung2"/>
        <w:numPr>
          <w:ilvl w:val="0"/>
          <w:numId w:val="0"/>
        </w:numPr>
        <w:ind w:left="720"/>
        <w:jc w:val="both"/>
        <w:rPr>
          <w:b/>
          <w:lang w:val="de-DE"/>
        </w:rPr>
      </w:pPr>
      <w:r w:rsidRPr="007D1FBB">
        <w:rPr>
          <w:lang w:val="de-DE"/>
        </w:rPr>
        <w:br w:type="page"/>
      </w:r>
      <w:r w:rsidR="00486378" w:rsidRPr="007D1FBB">
        <w:rPr>
          <w:b/>
          <w:lang w:val="de-DE"/>
        </w:rPr>
        <w:t>Beispielhafte Darstellung eines Packstückes/Versandeinheit (VSE)</w:t>
      </w:r>
    </w:p>
    <w:p w14:paraId="77568055" w14:textId="77777777" w:rsidR="00486378" w:rsidRPr="00486378" w:rsidRDefault="00486378" w:rsidP="00486378">
      <w:pPr>
        <w:ind w:left="720" w:hanging="15"/>
        <w:jc w:val="both"/>
        <w:rPr>
          <w:rFonts w:eastAsia="Times New Roman"/>
          <w:sz w:val="22"/>
          <w:szCs w:val="22"/>
          <w:lang w:eastAsia="de-DE"/>
        </w:rPr>
      </w:pPr>
    </w:p>
    <w:p w14:paraId="4C863CB5" w14:textId="47CF3BB6" w:rsidR="00486378" w:rsidRPr="00486378" w:rsidRDefault="00A16B1A" w:rsidP="00486378">
      <w:pPr>
        <w:ind w:left="720" w:hanging="15"/>
        <w:jc w:val="both"/>
        <w:rPr>
          <w:rFonts w:eastAsia="Times New Roman"/>
          <w:sz w:val="22"/>
          <w:szCs w:val="22"/>
          <w:lang w:eastAsia="de-DE"/>
        </w:rPr>
      </w:pPr>
      <w:r w:rsidRPr="00486378">
        <w:rPr>
          <w:rFonts w:eastAsia="Times New Roman"/>
          <w:noProof/>
          <w:sz w:val="22"/>
          <w:szCs w:val="22"/>
          <w:lang w:eastAsia="de-DE"/>
        </w:rPr>
        <mc:AlternateContent>
          <mc:Choice Requires="wps">
            <w:drawing>
              <wp:anchor distT="0" distB="0" distL="114300" distR="114300" simplePos="0" relativeHeight="251658245" behindDoc="0" locked="0" layoutInCell="1" allowOverlap="1" wp14:anchorId="08B2471D" wp14:editId="2FEA3A67">
                <wp:simplePos x="0" y="0"/>
                <wp:positionH relativeFrom="column">
                  <wp:posOffset>3657600</wp:posOffset>
                </wp:positionH>
                <wp:positionV relativeFrom="paragraph">
                  <wp:posOffset>1342390</wp:posOffset>
                </wp:positionV>
                <wp:extent cx="1371600" cy="342900"/>
                <wp:effectExtent l="5080" t="9525" r="13970" b="9525"/>
                <wp:wrapNone/>
                <wp:docPr id="16323751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001E40EC" w14:textId="77777777" w:rsidR="00AC6BB7" w:rsidRPr="00323774" w:rsidRDefault="00AC6BB7" w:rsidP="00486378">
                            <w:pPr>
                              <w:rPr>
                                <w:sz w:val="22"/>
                                <w:szCs w:val="22"/>
                              </w:rPr>
                            </w:pPr>
                            <w:r w:rsidRPr="00323774">
                              <w:rPr>
                                <w:sz w:val="22"/>
                                <w:szCs w:val="22"/>
                              </w:rPr>
                              <w:t xml:space="preserve">Europalette </w:t>
                            </w:r>
                            <w:r w:rsidRPr="0073365A">
                              <w:rPr>
                                <w:sz w:val="22"/>
                                <w:szCs w:val="22"/>
                              </w:rPr>
                              <w:t>(1x)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2471D" id="_x0000_t202" coordsize="21600,21600" o:spt="202" path="m,l,21600r21600,l21600,xe">
                <v:stroke joinstyle="miter"/>
                <v:path gradientshapeok="t" o:connecttype="rect"/>
              </v:shapetype>
              <v:shape id="Text Box 18" o:spid="_x0000_s1026" type="#_x0000_t202" style="position:absolute;left:0;text-align:left;margin-left:4in;margin-top:105.7pt;width:10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ZVFAIAACs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">
                <v:textbox>
                  <w:txbxContent>
                    <w:p w14:paraId="001E40EC" w14:textId="77777777" w:rsidR="00AC6BB7" w:rsidRPr="00323774" w:rsidRDefault="00AC6BB7" w:rsidP="00486378">
                      <w:pPr>
                        <w:rPr>
                          <w:sz w:val="22"/>
                          <w:szCs w:val="22"/>
                        </w:rPr>
                      </w:pPr>
                      <w:r w:rsidRPr="00323774">
                        <w:rPr>
                          <w:sz w:val="22"/>
                          <w:szCs w:val="22"/>
                        </w:rPr>
                        <w:t xml:space="preserve">Europalette </w:t>
                      </w:r>
                      <w:r w:rsidRPr="0073365A">
                        <w:rPr>
                          <w:sz w:val="22"/>
                          <w:szCs w:val="22"/>
                        </w:rPr>
                        <w:t>(1x)</w:t>
                      </w:r>
                    </w:p>
                  </w:txbxContent>
                </v:textbox>
              </v:shape>
            </w:pict>
          </mc:Fallback>
        </mc:AlternateContent>
      </w:r>
      <w:r w:rsidRPr="00486378">
        <w:rPr>
          <w:rFonts w:eastAsia="Times New Roman"/>
          <w:noProof/>
          <w:sz w:val="22"/>
          <w:szCs w:val="22"/>
          <w:lang w:eastAsia="de-DE"/>
        </w:rPr>
        <mc:AlternateContent>
          <mc:Choice Requires="wps">
            <w:drawing>
              <wp:anchor distT="0" distB="0" distL="114300" distR="114300" simplePos="0" relativeHeight="251658242" behindDoc="0" locked="0" layoutInCell="1" allowOverlap="1" wp14:anchorId="3A5ECFF8" wp14:editId="52E2A541">
                <wp:simplePos x="0" y="0"/>
                <wp:positionH relativeFrom="column">
                  <wp:posOffset>3657600</wp:posOffset>
                </wp:positionH>
                <wp:positionV relativeFrom="paragraph">
                  <wp:posOffset>656590</wp:posOffset>
                </wp:positionV>
                <wp:extent cx="1371600" cy="342900"/>
                <wp:effectExtent l="5080" t="9525" r="13970" b="9525"/>
                <wp:wrapNone/>
                <wp:docPr id="18470213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4AC699A7" w14:textId="77777777" w:rsidR="00AC6BB7" w:rsidRPr="00323774" w:rsidRDefault="00AC6BB7" w:rsidP="00486378">
                            <w:pPr>
                              <w:rPr>
                                <w:sz w:val="22"/>
                                <w:szCs w:val="22"/>
                              </w:rPr>
                            </w:pPr>
                            <w:r w:rsidRPr="00323774">
                              <w:rPr>
                                <w:sz w:val="22"/>
                                <w:szCs w:val="22"/>
                              </w:rPr>
                              <w:t>KLT-</w:t>
                            </w:r>
                            <w:r w:rsidRPr="0073365A">
                              <w:rPr>
                                <w:sz w:val="22"/>
                                <w:szCs w:val="22"/>
                              </w:rPr>
                              <w:t>6280 (12x)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ECFF8" id="Text Box 15" o:spid="_x0000_s1027" type="#_x0000_t202" style="position:absolute;left:0;text-align:left;margin-left:4in;margin-top:51.7pt;width:108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V3Fg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">
                <v:textbox>
                  <w:txbxContent>
                    <w:p w14:paraId="4AC699A7" w14:textId="77777777" w:rsidR="00AC6BB7" w:rsidRPr="00323774" w:rsidRDefault="00AC6BB7" w:rsidP="00486378">
                      <w:pPr>
                        <w:rPr>
                          <w:sz w:val="22"/>
                          <w:szCs w:val="22"/>
                        </w:rPr>
                      </w:pPr>
                      <w:r w:rsidRPr="00323774">
                        <w:rPr>
                          <w:sz w:val="22"/>
                          <w:szCs w:val="22"/>
                        </w:rPr>
                        <w:t>KLT-</w:t>
                      </w:r>
                      <w:r w:rsidRPr="0073365A">
                        <w:rPr>
                          <w:sz w:val="22"/>
                          <w:szCs w:val="22"/>
                        </w:rPr>
                        <w:t>6280 (12x)</w:t>
                      </w:r>
                    </w:p>
                  </w:txbxContent>
                </v:textbox>
              </v:shape>
            </w:pict>
          </mc:Fallback>
        </mc:AlternateContent>
      </w:r>
      <w:r w:rsidRPr="00486378">
        <w:rPr>
          <w:rFonts w:eastAsia="Times New Roman"/>
          <w:noProof/>
          <w:sz w:val="22"/>
          <w:szCs w:val="22"/>
          <w:lang w:eastAsia="de-DE"/>
        </w:rPr>
        <mc:AlternateContent>
          <mc:Choice Requires="wps">
            <w:drawing>
              <wp:anchor distT="0" distB="0" distL="114300" distR="114300" simplePos="0" relativeHeight="251658240" behindDoc="0" locked="0" layoutInCell="1" allowOverlap="1" wp14:anchorId="625D2BEB" wp14:editId="27558AA0">
                <wp:simplePos x="0" y="0"/>
                <wp:positionH relativeFrom="column">
                  <wp:posOffset>3657600</wp:posOffset>
                </wp:positionH>
                <wp:positionV relativeFrom="paragraph">
                  <wp:posOffset>85090</wp:posOffset>
                </wp:positionV>
                <wp:extent cx="1371600" cy="342900"/>
                <wp:effectExtent l="5080" t="9525" r="13970" b="9525"/>
                <wp:wrapNone/>
                <wp:docPr id="9926797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13EBC38E" w14:textId="77777777" w:rsidR="00AC6BB7" w:rsidRPr="00323774" w:rsidRDefault="00AC6BB7" w:rsidP="00486378">
                            <w:pPr>
                              <w:rPr>
                                <w:sz w:val="22"/>
                                <w:szCs w:val="22"/>
                              </w:rPr>
                            </w:pPr>
                            <w:r w:rsidRPr="00323774">
                              <w:rPr>
                                <w:sz w:val="22"/>
                                <w:szCs w:val="22"/>
                              </w:rPr>
                              <w:t>KLT-</w:t>
                            </w:r>
                            <w:r w:rsidRPr="0073365A">
                              <w:rPr>
                                <w:sz w:val="22"/>
                                <w:szCs w:val="22"/>
                              </w:rPr>
                              <w:t>Deckel (1x)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BEB" id="Text Box 13" o:spid="_x0000_s1028" type="#_x0000_t202" style="position:absolute;left:0;text-align:left;margin-left:4in;margin-top:6.7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">
                <v:textbox>
                  <w:txbxContent>
                    <w:p w14:paraId="13EBC38E" w14:textId="77777777" w:rsidR="00AC6BB7" w:rsidRPr="00323774" w:rsidRDefault="00AC6BB7" w:rsidP="00486378">
                      <w:pPr>
                        <w:rPr>
                          <w:sz w:val="22"/>
                          <w:szCs w:val="22"/>
                        </w:rPr>
                      </w:pPr>
                      <w:r w:rsidRPr="00323774">
                        <w:rPr>
                          <w:sz w:val="22"/>
                          <w:szCs w:val="22"/>
                        </w:rPr>
                        <w:t>KLT-</w:t>
                      </w:r>
                      <w:r w:rsidRPr="0073365A">
                        <w:rPr>
                          <w:sz w:val="22"/>
                          <w:szCs w:val="22"/>
                        </w:rPr>
                        <w:t>Deckel (1x)</w:t>
                      </w:r>
                    </w:p>
                  </w:txbxContent>
                </v:textbox>
              </v:shape>
            </w:pict>
          </mc:Fallback>
        </mc:AlternateContent>
      </w:r>
      <w:r w:rsidRPr="00486378">
        <w:rPr>
          <w:rFonts w:eastAsia="Times New Roman"/>
          <w:noProof/>
          <w:sz w:val="22"/>
          <w:szCs w:val="22"/>
          <w:lang w:eastAsia="de-DE"/>
        </w:rPr>
        <mc:AlternateContent>
          <mc:Choice Requires="wps">
            <w:drawing>
              <wp:anchor distT="0" distB="0" distL="114300" distR="114300" simplePos="0" relativeHeight="251658243" behindDoc="0" locked="0" layoutInCell="1" allowOverlap="1" wp14:anchorId="2B6AB382" wp14:editId="29381051">
                <wp:simplePos x="0" y="0"/>
                <wp:positionH relativeFrom="column">
                  <wp:posOffset>2857500</wp:posOffset>
                </wp:positionH>
                <wp:positionV relativeFrom="paragraph">
                  <wp:posOffset>1570990</wp:posOffset>
                </wp:positionV>
                <wp:extent cx="571500" cy="0"/>
                <wp:effectExtent l="14605" t="57150" r="13970" b="57150"/>
                <wp:wrapNone/>
                <wp:docPr id="20808734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285024F" id="Line 16"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3.7pt" to="270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">
                <v:stroke endarrow="block"/>
              </v:line>
            </w:pict>
          </mc:Fallback>
        </mc:AlternateContent>
      </w:r>
      <w:r w:rsidRPr="00486378">
        <w:rPr>
          <w:rFonts w:eastAsia="Times New Roman"/>
          <w:noProof/>
          <w:sz w:val="22"/>
          <w:szCs w:val="22"/>
          <w:lang w:eastAsia="de-DE"/>
        </w:rPr>
        <mc:AlternateContent>
          <mc:Choice Requires="wps">
            <w:drawing>
              <wp:anchor distT="0" distB="0" distL="114300" distR="114300" simplePos="0" relativeHeight="251658241" behindDoc="0" locked="0" layoutInCell="1" allowOverlap="1" wp14:anchorId="37755399" wp14:editId="43B2D46F">
                <wp:simplePos x="0" y="0"/>
                <wp:positionH relativeFrom="column">
                  <wp:posOffset>2857500</wp:posOffset>
                </wp:positionH>
                <wp:positionV relativeFrom="paragraph">
                  <wp:posOffset>259715</wp:posOffset>
                </wp:positionV>
                <wp:extent cx="571500" cy="0"/>
                <wp:effectExtent l="14605" t="60325" r="13970" b="53975"/>
                <wp:wrapNone/>
                <wp:docPr id="210606595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74AC537" id="Line 14"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45pt" to="27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">
                <v:stroke endarrow="block"/>
              </v:line>
            </w:pict>
          </mc:Fallback>
        </mc:AlternateContent>
      </w:r>
      <w:r w:rsidRPr="00486378">
        <w:rPr>
          <w:rFonts w:eastAsia="Times New Roman"/>
          <w:noProof/>
          <w:sz w:val="22"/>
          <w:szCs w:val="22"/>
          <w:lang w:eastAsia="de-DE"/>
        </w:rPr>
        <mc:AlternateContent>
          <mc:Choice Requires="wps">
            <w:drawing>
              <wp:anchor distT="0" distB="0" distL="114300" distR="114300" simplePos="0" relativeHeight="251658244" behindDoc="0" locked="0" layoutInCell="1" allowOverlap="1" wp14:anchorId="2B14F877" wp14:editId="0CF2DA6F">
                <wp:simplePos x="0" y="0"/>
                <wp:positionH relativeFrom="column">
                  <wp:posOffset>2857500</wp:posOffset>
                </wp:positionH>
                <wp:positionV relativeFrom="paragraph">
                  <wp:posOffset>820420</wp:posOffset>
                </wp:positionV>
                <wp:extent cx="571500" cy="0"/>
                <wp:effectExtent l="14605" t="59055" r="13970" b="55245"/>
                <wp:wrapNone/>
                <wp:docPr id="153940999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418E74" id="Line 17"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6pt" to="270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">
                <v:stroke endarrow="block"/>
              </v:line>
            </w:pict>
          </mc:Fallback>
        </mc:AlternateContent>
      </w:r>
      <w:r w:rsidRPr="00486378">
        <w:rPr>
          <w:rFonts w:eastAsia="Times New Roman"/>
          <w:noProof/>
          <w:sz w:val="22"/>
          <w:szCs w:val="22"/>
          <w:lang w:eastAsia="de-DE"/>
        </w:rPr>
        <w:drawing>
          <wp:inline distT="0" distB="0" distL="0" distR="0" wp14:anchorId="5E8CA593" wp14:editId="5BE4EC53">
            <wp:extent cx="2286000" cy="170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08150"/>
                    </a:xfrm>
                    <a:prstGeom prst="rect">
                      <a:avLst/>
                    </a:prstGeom>
                    <a:noFill/>
                    <a:ln>
                      <a:noFill/>
                    </a:ln>
                  </pic:spPr>
                </pic:pic>
              </a:graphicData>
            </a:graphic>
          </wp:inline>
        </w:drawing>
      </w:r>
    </w:p>
    <w:p w14:paraId="54D3C119" w14:textId="77777777" w:rsidR="00486378" w:rsidRPr="00486378" w:rsidRDefault="00486378" w:rsidP="00486378">
      <w:pPr>
        <w:ind w:left="720" w:hanging="15"/>
        <w:jc w:val="both"/>
        <w:rPr>
          <w:rFonts w:eastAsia="Times New Roman"/>
          <w:sz w:val="22"/>
          <w:szCs w:val="22"/>
          <w:lang w:eastAsia="de-DE"/>
        </w:rPr>
      </w:pPr>
    </w:p>
    <w:p w14:paraId="5AA3B1A6" w14:textId="77777777" w:rsidR="00486378" w:rsidRPr="00486378" w:rsidRDefault="00486378" w:rsidP="007D1FBB">
      <w:pPr>
        <w:pStyle w:val="BodyText"/>
        <w:rPr>
          <w:lang w:eastAsia="de-DE"/>
        </w:rPr>
      </w:pPr>
    </w:p>
    <w:p w14:paraId="54E317C7" w14:textId="77777777" w:rsidR="00486378" w:rsidRPr="007D1FBB" w:rsidRDefault="00E07ECA" w:rsidP="007D1FBB">
      <w:pPr>
        <w:pStyle w:val="Textkrper-Aufzhlung"/>
      </w:pPr>
      <w:r w:rsidRPr="007D1FBB">
        <w:rPr>
          <w:b/>
        </w:rPr>
        <w:t>E</w:t>
      </w:r>
      <w:r w:rsidR="00486378" w:rsidRPr="007D1FBB">
        <w:rPr>
          <w:b/>
        </w:rPr>
        <w:t>inwegverpackung</w:t>
      </w:r>
      <w:r w:rsidR="007D1FBB" w:rsidRPr="007D1FBB">
        <w:rPr>
          <w:b/>
        </w:rPr>
        <w:br/>
      </w:r>
      <w:r w:rsidR="007D1FBB" w:rsidRPr="007D1FBB">
        <w:t xml:space="preserve">Die Die </w:t>
      </w:r>
      <w:r w:rsidR="00486378" w:rsidRPr="007D1FBB">
        <w:t>Einwegverpackung ist eine Verpackung, die für den einmaligen Gebrauch bestimmt ist, d.h. nicht mehr wieder verwendet wird. Nach Gebrauch wird sie der stofflichen Verwertung zugeführt. Sofern nicht anders vereinbart, trägt der Lieferant die Entsorgungskosten.</w:t>
      </w:r>
    </w:p>
    <w:p w14:paraId="27140B68" w14:textId="77777777" w:rsidR="00486378" w:rsidRPr="007D1FBB" w:rsidRDefault="00486378" w:rsidP="007D1FBB">
      <w:pPr>
        <w:pStyle w:val="Textkrper-Aufzhlung"/>
        <w:numPr>
          <w:ilvl w:val="0"/>
          <w:numId w:val="0"/>
        </w:numPr>
        <w:ind w:left="357"/>
      </w:pPr>
    </w:p>
    <w:p w14:paraId="47064DA7" w14:textId="77777777" w:rsidR="00486378" w:rsidRPr="00486378" w:rsidRDefault="00486378" w:rsidP="00736598">
      <w:pPr>
        <w:pStyle w:val="Textkrper-Aufzhlung"/>
        <w:rPr>
          <w:b/>
        </w:rPr>
      </w:pPr>
      <w:r w:rsidRPr="00486378">
        <w:rPr>
          <w:b/>
        </w:rPr>
        <w:t>Mehrwegverpackung</w:t>
      </w:r>
    </w:p>
    <w:p w14:paraId="57DDD456" w14:textId="77777777" w:rsidR="00486378" w:rsidRPr="00486378" w:rsidRDefault="00486378" w:rsidP="00736598">
      <w:pPr>
        <w:pStyle w:val="Textkrper-Aufzhlung"/>
        <w:numPr>
          <w:ilvl w:val="0"/>
          <w:numId w:val="0"/>
        </w:numPr>
        <w:ind w:left="357"/>
      </w:pPr>
      <w:r w:rsidRPr="00486378">
        <w:t>Die Mehrwegverpackung ist eine Verpackung die mehrmalig verwendet werden kann. Nach Gebrauch wird sie zurückgeführt und bleibt dem Verpackungskreislauf erhalten.</w:t>
      </w:r>
    </w:p>
    <w:p w14:paraId="7427CAD2" w14:textId="77777777" w:rsidR="00486378" w:rsidRPr="00486378" w:rsidRDefault="00486378" w:rsidP="00736598">
      <w:pPr>
        <w:pStyle w:val="Textkrper-Aufzhlung"/>
        <w:numPr>
          <w:ilvl w:val="0"/>
          <w:numId w:val="0"/>
        </w:numPr>
        <w:ind w:left="357"/>
      </w:pPr>
    </w:p>
    <w:p w14:paraId="359CC37D" w14:textId="77777777" w:rsidR="00486378" w:rsidRPr="00486378" w:rsidRDefault="00486378" w:rsidP="00736598">
      <w:pPr>
        <w:pStyle w:val="Textkrper-Aufzhlung"/>
        <w:rPr>
          <w:b/>
        </w:rPr>
      </w:pPr>
      <w:r w:rsidRPr="00486378">
        <w:rPr>
          <w:b/>
        </w:rPr>
        <w:t>Ladung</w:t>
      </w:r>
    </w:p>
    <w:p w14:paraId="5A046D26" w14:textId="77777777" w:rsidR="00486378" w:rsidRDefault="00486378" w:rsidP="00736598">
      <w:pPr>
        <w:pStyle w:val="Textkrper-Aufzhlung"/>
        <w:numPr>
          <w:ilvl w:val="0"/>
          <w:numId w:val="0"/>
        </w:numPr>
        <w:ind w:left="357"/>
      </w:pPr>
      <w:r w:rsidRPr="00486378">
        <w:t>Eine Ladung stellt die Gesamtheit aller Packstücke/Versandeinheiten (VSE) dar.</w:t>
      </w:r>
    </w:p>
    <w:p w14:paraId="76DC235E" w14:textId="77777777" w:rsidR="007D1FBB" w:rsidRDefault="007D1FBB" w:rsidP="00736598">
      <w:pPr>
        <w:pStyle w:val="Textkrper-Aufzhlung"/>
        <w:numPr>
          <w:ilvl w:val="0"/>
          <w:numId w:val="0"/>
        </w:numPr>
        <w:ind w:left="357"/>
      </w:pPr>
    </w:p>
    <w:p w14:paraId="7645C1CF" w14:textId="77777777" w:rsidR="007D1FBB" w:rsidRPr="00486378" w:rsidRDefault="007D1FBB" w:rsidP="00736598">
      <w:pPr>
        <w:pStyle w:val="Textkrper-Aufzhlung"/>
        <w:numPr>
          <w:ilvl w:val="0"/>
          <w:numId w:val="0"/>
        </w:numPr>
        <w:ind w:left="357"/>
      </w:pPr>
    </w:p>
    <w:p w14:paraId="6D291B5B" w14:textId="77777777" w:rsidR="00486378" w:rsidRPr="00486378" w:rsidRDefault="007D1FBB" w:rsidP="00736598">
      <w:pPr>
        <w:pStyle w:val="b2"/>
        <w:rPr>
          <w:lang w:eastAsia="de-DE"/>
        </w:rPr>
      </w:pPr>
      <w:bookmarkStart w:id="74" w:name="_Toc179342325"/>
      <w:bookmarkStart w:id="75" w:name="Behälter"/>
      <w:r>
        <w:rPr>
          <w:lang w:eastAsia="de-DE"/>
        </w:rPr>
        <w:br w:type="page"/>
      </w:r>
      <w:bookmarkStart w:id="76" w:name="_Toc188346310"/>
      <w:r w:rsidR="00486378" w:rsidRPr="00486378">
        <w:rPr>
          <w:lang w:eastAsia="de-DE"/>
        </w:rPr>
        <w:t xml:space="preserve">Behälter/Verpackungen </w:t>
      </w:r>
      <w:bookmarkStart w:id="77" w:name="Euro"/>
      <w:r w:rsidR="00486378" w:rsidRPr="00486378">
        <w:rPr>
          <w:lang w:eastAsia="de-DE"/>
        </w:rPr>
        <w:t>Euro</w:t>
      </w:r>
      <w:bookmarkEnd w:id="77"/>
      <w:r w:rsidR="00486378" w:rsidRPr="00486378">
        <w:rPr>
          <w:lang w:eastAsia="de-DE"/>
        </w:rPr>
        <w:t>pa</w:t>
      </w:r>
      <w:bookmarkEnd w:id="74"/>
      <w:bookmarkEnd w:id="76"/>
    </w:p>
    <w:p w14:paraId="5D0B6752" w14:textId="77777777" w:rsidR="00486378" w:rsidRPr="00486378" w:rsidRDefault="00486378" w:rsidP="00736598">
      <w:pPr>
        <w:pStyle w:val="b3"/>
        <w:rPr>
          <w:lang w:eastAsia="de-DE"/>
        </w:rPr>
      </w:pPr>
      <w:bookmarkStart w:id="78" w:name="Standard"/>
      <w:bookmarkStart w:id="79" w:name="_Toc179342326"/>
      <w:bookmarkEnd w:id="75"/>
      <w:r w:rsidRPr="00486378">
        <w:rPr>
          <w:lang w:eastAsia="de-DE"/>
        </w:rPr>
        <w:t>Standard</w:t>
      </w:r>
      <w:bookmarkEnd w:id="78"/>
      <w:r w:rsidRPr="00486378">
        <w:rPr>
          <w:lang w:eastAsia="de-DE"/>
        </w:rPr>
        <w:t>/Universal</w:t>
      </w:r>
      <w:bookmarkEnd w:id="79"/>
    </w:p>
    <w:tbl>
      <w:tblPr>
        <w:tblW w:w="0" w:type="auto"/>
        <w:tblLook w:val="04A0" w:firstRow="1" w:lastRow="0" w:firstColumn="1" w:lastColumn="0" w:noHBand="0" w:noVBand="1"/>
      </w:tblPr>
      <w:tblGrid>
        <w:gridCol w:w="6355"/>
        <w:gridCol w:w="2715"/>
      </w:tblGrid>
      <w:tr w:rsidR="007D1FBB" w:rsidRPr="00B320DF" w14:paraId="042E4A15" w14:textId="77777777" w:rsidTr="004E6DAB">
        <w:tc>
          <w:tcPr>
            <w:tcW w:w="6487" w:type="dxa"/>
            <w:shd w:val="clear" w:color="auto" w:fill="auto"/>
          </w:tcPr>
          <w:p w14:paraId="198798F9" w14:textId="77777777" w:rsidR="007D1FBB" w:rsidRDefault="007D1FBB" w:rsidP="007D1FBB">
            <w:pPr>
              <w:pStyle w:val="BodyText"/>
              <w:rPr>
                <w:lang w:eastAsia="de-DE"/>
              </w:rPr>
            </w:pPr>
          </w:p>
          <w:p w14:paraId="02043651" w14:textId="77777777" w:rsidR="007D1FBB" w:rsidRPr="0004349D" w:rsidRDefault="007D1FBB" w:rsidP="007D1FBB">
            <w:pPr>
              <w:pStyle w:val="BodyText"/>
              <w:rPr>
                <w:b/>
                <w:lang w:eastAsia="de-DE"/>
              </w:rPr>
            </w:pPr>
            <w:r w:rsidRPr="0004349D">
              <w:rPr>
                <w:b/>
                <w:lang w:eastAsia="de-DE"/>
              </w:rPr>
              <w:t>Pool-Flachpaletten aus Holz nach UIC 435-2</w:t>
            </w:r>
          </w:p>
          <w:p w14:paraId="76A47B31" w14:textId="77777777" w:rsidR="007D1FBB" w:rsidRPr="00486378" w:rsidRDefault="007D1FBB" w:rsidP="0004349D">
            <w:pPr>
              <w:pStyle w:val="BodyText"/>
              <w:tabs>
                <w:tab w:val="left" w:pos="2833"/>
              </w:tabs>
              <w:rPr>
                <w:lang w:eastAsia="de-DE"/>
              </w:rPr>
            </w:pPr>
            <w:r w:rsidRPr="00486378">
              <w:rPr>
                <w:lang w:eastAsia="de-DE"/>
              </w:rPr>
              <w:t>A</w:t>
            </w:r>
            <w:r w:rsidR="0004349D">
              <w:rPr>
                <w:lang w:eastAsia="de-DE"/>
              </w:rPr>
              <w:t>bmessung:</w:t>
            </w:r>
            <w:r w:rsidR="0004349D">
              <w:rPr>
                <w:lang w:eastAsia="de-DE"/>
              </w:rPr>
              <w:tab/>
              <w:t>1200 x 800 x 144 mm</w:t>
            </w:r>
          </w:p>
          <w:p w14:paraId="1F1708BB" w14:textId="77777777" w:rsidR="007D1FBB" w:rsidRPr="00486378" w:rsidRDefault="0004349D" w:rsidP="0004349D">
            <w:pPr>
              <w:pStyle w:val="BodyText"/>
              <w:tabs>
                <w:tab w:val="left" w:pos="2865"/>
              </w:tabs>
              <w:rPr>
                <w:lang w:eastAsia="de-DE"/>
              </w:rPr>
            </w:pPr>
            <w:r>
              <w:rPr>
                <w:lang w:eastAsia="de-DE"/>
              </w:rPr>
              <w:t>Gewicht:</w:t>
            </w:r>
            <w:r>
              <w:rPr>
                <w:lang w:eastAsia="de-DE"/>
              </w:rPr>
              <w:tab/>
            </w:r>
            <w:r w:rsidR="007D1FBB" w:rsidRPr="00486378">
              <w:rPr>
                <w:lang w:eastAsia="de-DE"/>
              </w:rPr>
              <w:t>25 Kg</w:t>
            </w:r>
          </w:p>
          <w:p w14:paraId="51B6B723" w14:textId="77777777" w:rsidR="007D1FBB" w:rsidRPr="00486378" w:rsidRDefault="007D1FBB" w:rsidP="007D1FBB">
            <w:pPr>
              <w:pStyle w:val="BodyText"/>
              <w:rPr>
                <w:lang w:eastAsia="de-DE"/>
              </w:rPr>
            </w:pPr>
            <w:r w:rsidRPr="00486378">
              <w:rPr>
                <w:lang w:eastAsia="de-DE"/>
              </w:rPr>
              <w:t xml:space="preserve">Erkennungsmerkmale: </w:t>
            </w:r>
            <w:r w:rsidRPr="00486378">
              <w:rPr>
                <w:lang w:eastAsia="de-DE"/>
              </w:rPr>
              <w:tab/>
              <w:t xml:space="preserve">Zeichen „DB“, „EUR“ </w:t>
            </w:r>
          </w:p>
          <w:p w14:paraId="699CA54F" w14:textId="77777777" w:rsidR="007D1FBB" w:rsidRPr="00B320DF" w:rsidRDefault="007D1FBB" w:rsidP="007D1FBB">
            <w:pPr>
              <w:pStyle w:val="BodyText"/>
              <w:rPr>
                <w:b/>
                <w:lang w:eastAsia="de-DE"/>
              </w:rPr>
            </w:pPr>
          </w:p>
        </w:tc>
        <w:tc>
          <w:tcPr>
            <w:tcW w:w="2723" w:type="dxa"/>
            <w:shd w:val="clear" w:color="auto" w:fill="auto"/>
          </w:tcPr>
          <w:p w14:paraId="397EC19C" w14:textId="7D4BA69A" w:rsidR="007D1FBB" w:rsidRPr="007D1FBB" w:rsidRDefault="00A16B1A" w:rsidP="007D1FBB">
            <w:pPr>
              <w:pStyle w:val="BodyText"/>
            </w:pPr>
            <w:r w:rsidRPr="00D66F67">
              <w:rPr>
                <w:noProof/>
                <w:lang w:eastAsia="de-DE"/>
              </w:rPr>
              <w:drawing>
                <wp:inline distT="0" distB="0" distL="0" distR="0" wp14:anchorId="54B8E905" wp14:editId="09FE5691">
                  <wp:extent cx="1431925" cy="96647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925" cy="966470"/>
                          </a:xfrm>
                          <a:prstGeom prst="rect">
                            <a:avLst/>
                          </a:prstGeom>
                          <a:noFill/>
                          <a:ln>
                            <a:noFill/>
                          </a:ln>
                        </pic:spPr>
                      </pic:pic>
                    </a:graphicData>
                  </a:graphic>
                </wp:inline>
              </w:drawing>
            </w:r>
          </w:p>
          <w:p w14:paraId="4ED64574" w14:textId="77777777" w:rsidR="007D1FBB" w:rsidRPr="007D1FBB" w:rsidRDefault="007D1FBB" w:rsidP="007D1FBB">
            <w:pPr>
              <w:pStyle w:val="BodyText"/>
            </w:pPr>
          </w:p>
          <w:p w14:paraId="0D334D6F" w14:textId="77777777" w:rsidR="007D1FBB" w:rsidRPr="007D1FBB" w:rsidRDefault="007D1FBB" w:rsidP="007D1FBB">
            <w:pPr>
              <w:pStyle w:val="BodyText"/>
            </w:pPr>
          </w:p>
        </w:tc>
      </w:tr>
      <w:tr w:rsidR="007D1FBB" w:rsidRPr="00B320DF" w14:paraId="02FCF47A" w14:textId="77777777" w:rsidTr="004E6DAB">
        <w:tc>
          <w:tcPr>
            <w:tcW w:w="6487" w:type="dxa"/>
            <w:shd w:val="clear" w:color="auto" w:fill="auto"/>
          </w:tcPr>
          <w:p w14:paraId="7EDCC84A" w14:textId="77777777" w:rsidR="007D1FBB" w:rsidRPr="00486378" w:rsidRDefault="007D1FBB" w:rsidP="007D1FBB">
            <w:pPr>
              <w:pStyle w:val="BodyText"/>
              <w:rPr>
                <w:lang w:eastAsia="de-DE"/>
              </w:rPr>
            </w:pPr>
            <w:r w:rsidRPr="00B320DF">
              <w:rPr>
                <w:b/>
                <w:lang w:eastAsia="de-DE"/>
              </w:rPr>
              <w:t>Pool-Gitterboxpaletten aus Stahl nach UIC 435-3</w:t>
            </w:r>
          </w:p>
          <w:p w14:paraId="76FCB5B7" w14:textId="77777777" w:rsidR="007D1FBB" w:rsidRPr="00486378" w:rsidRDefault="0004349D" w:rsidP="0004349D">
            <w:pPr>
              <w:pStyle w:val="BodyText"/>
              <w:tabs>
                <w:tab w:val="left" w:pos="2849"/>
              </w:tabs>
              <w:rPr>
                <w:lang w:eastAsia="de-DE"/>
              </w:rPr>
            </w:pPr>
            <w:r>
              <w:rPr>
                <w:lang w:eastAsia="de-DE"/>
              </w:rPr>
              <w:t>Innenmaß:</w:t>
            </w:r>
            <w:r>
              <w:rPr>
                <w:lang w:eastAsia="de-DE"/>
              </w:rPr>
              <w:tab/>
            </w:r>
            <w:r w:rsidR="007D1FBB" w:rsidRPr="00486378">
              <w:rPr>
                <w:lang w:eastAsia="de-DE"/>
              </w:rPr>
              <w:t>1200 x 800 x 780 mm</w:t>
            </w:r>
          </w:p>
          <w:p w14:paraId="57D430FA" w14:textId="77777777" w:rsidR="007D1FBB" w:rsidRPr="00486378" w:rsidRDefault="0004349D" w:rsidP="0004349D">
            <w:pPr>
              <w:pStyle w:val="BodyText"/>
              <w:tabs>
                <w:tab w:val="left" w:pos="2849"/>
              </w:tabs>
              <w:rPr>
                <w:lang w:eastAsia="de-DE"/>
              </w:rPr>
            </w:pPr>
            <w:r>
              <w:rPr>
                <w:lang w:eastAsia="de-DE"/>
              </w:rPr>
              <w:t>Außenmaß:</w:t>
            </w:r>
            <w:r>
              <w:rPr>
                <w:lang w:eastAsia="de-DE"/>
              </w:rPr>
              <w:tab/>
            </w:r>
            <w:r w:rsidR="007D1FBB" w:rsidRPr="00486378">
              <w:rPr>
                <w:lang w:eastAsia="de-DE"/>
              </w:rPr>
              <w:t>1240 x 835 x 970 mm</w:t>
            </w:r>
          </w:p>
          <w:p w14:paraId="0267DEA2" w14:textId="77777777" w:rsidR="007D1FBB" w:rsidRPr="00486378" w:rsidRDefault="0004349D" w:rsidP="0004349D">
            <w:pPr>
              <w:pStyle w:val="BodyText"/>
              <w:tabs>
                <w:tab w:val="left" w:pos="2849"/>
              </w:tabs>
              <w:rPr>
                <w:lang w:eastAsia="de-DE"/>
              </w:rPr>
            </w:pPr>
            <w:r>
              <w:rPr>
                <w:lang w:eastAsia="de-DE"/>
              </w:rPr>
              <w:t>Gewicht:</w:t>
            </w:r>
            <w:r>
              <w:rPr>
                <w:lang w:eastAsia="de-DE"/>
              </w:rPr>
              <w:tab/>
            </w:r>
            <w:r w:rsidR="007D1FBB" w:rsidRPr="00486378">
              <w:rPr>
                <w:lang w:eastAsia="de-DE"/>
              </w:rPr>
              <w:t>85 Kg</w:t>
            </w:r>
          </w:p>
          <w:p w14:paraId="65D4B156" w14:textId="77777777" w:rsidR="007D1FBB" w:rsidRPr="00486378" w:rsidRDefault="007D1FBB" w:rsidP="007D1FBB">
            <w:pPr>
              <w:pStyle w:val="BodyText"/>
              <w:rPr>
                <w:lang w:eastAsia="de-DE"/>
              </w:rPr>
            </w:pPr>
            <w:r w:rsidRPr="00486378">
              <w:rPr>
                <w:lang w:eastAsia="de-DE"/>
              </w:rPr>
              <w:t>Erkennungsmerkmale:</w:t>
            </w:r>
            <w:r w:rsidRPr="00486378">
              <w:rPr>
                <w:lang w:eastAsia="de-DE"/>
              </w:rPr>
              <w:tab/>
              <w:t>Zeichen „DB“, „EUR“</w:t>
            </w:r>
          </w:p>
          <w:p w14:paraId="2BA40AD6" w14:textId="77777777" w:rsidR="007D1FBB" w:rsidRDefault="007D1FBB" w:rsidP="007D1FBB">
            <w:pPr>
              <w:pStyle w:val="BodyText"/>
              <w:rPr>
                <w:lang w:eastAsia="de-DE"/>
              </w:rPr>
            </w:pPr>
          </w:p>
        </w:tc>
        <w:tc>
          <w:tcPr>
            <w:tcW w:w="2723" w:type="dxa"/>
            <w:shd w:val="clear" w:color="auto" w:fill="auto"/>
          </w:tcPr>
          <w:p w14:paraId="4F406F03" w14:textId="0657A668" w:rsidR="007D1FBB" w:rsidRDefault="00A16B1A" w:rsidP="007D1FBB">
            <w:pPr>
              <w:pStyle w:val="BodyText"/>
              <w:rPr>
                <w:noProof/>
                <w:lang w:eastAsia="de-DE"/>
              </w:rPr>
            </w:pPr>
            <w:r w:rsidRPr="00D66F67">
              <w:rPr>
                <w:noProof/>
                <w:lang w:eastAsia="de-DE"/>
              </w:rPr>
              <w:drawing>
                <wp:inline distT="0" distB="0" distL="0" distR="0" wp14:anchorId="54D03EE1" wp14:editId="6310609F">
                  <wp:extent cx="1431925" cy="99187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991870"/>
                          </a:xfrm>
                          <a:prstGeom prst="rect">
                            <a:avLst/>
                          </a:prstGeom>
                          <a:noFill/>
                          <a:ln>
                            <a:noFill/>
                          </a:ln>
                        </pic:spPr>
                      </pic:pic>
                    </a:graphicData>
                  </a:graphic>
                </wp:inline>
              </w:drawing>
            </w:r>
          </w:p>
          <w:p w14:paraId="75EF9390" w14:textId="77777777" w:rsidR="007D1FBB" w:rsidRPr="007D1FBB" w:rsidRDefault="007D1FBB" w:rsidP="007D1FBB">
            <w:pPr>
              <w:pStyle w:val="BodyText"/>
            </w:pPr>
          </w:p>
        </w:tc>
      </w:tr>
      <w:tr w:rsidR="007D1FBB" w:rsidRPr="00B320DF" w14:paraId="3631C4BB" w14:textId="77777777" w:rsidTr="004E6DAB">
        <w:tc>
          <w:tcPr>
            <w:tcW w:w="6487" w:type="dxa"/>
            <w:shd w:val="clear" w:color="auto" w:fill="auto"/>
          </w:tcPr>
          <w:p w14:paraId="3D3B94DB" w14:textId="77777777" w:rsidR="007D1FBB" w:rsidRPr="00B320DF" w:rsidRDefault="007D1FBB" w:rsidP="007D1FBB">
            <w:pPr>
              <w:pStyle w:val="BodyText"/>
              <w:rPr>
                <w:b/>
                <w:lang w:eastAsia="de-DE"/>
              </w:rPr>
            </w:pPr>
            <w:r w:rsidRPr="00B320DF">
              <w:rPr>
                <w:b/>
                <w:lang w:eastAsia="de-DE"/>
              </w:rPr>
              <w:t>Kleinladungsträger KLT 6428, Farbe blau</w:t>
            </w:r>
          </w:p>
          <w:p w14:paraId="31CA79AB" w14:textId="77777777" w:rsidR="007D1FBB" w:rsidRPr="00486378" w:rsidRDefault="0004349D" w:rsidP="0004349D">
            <w:pPr>
              <w:pStyle w:val="BodyText"/>
              <w:tabs>
                <w:tab w:val="left" w:pos="2802"/>
              </w:tabs>
              <w:rPr>
                <w:lang w:eastAsia="de-DE"/>
              </w:rPr>
            </w:pPr>
            <w:r>
              <w:rPr>
                <w:lang w:eastAsia="de-DE"/>
              </w:rPr>
              <w:t>Nennmaß:</w:t>
            </w:r>
            <w:r>
              <w:rPr>
                <w:lang w:eastAsia="de-DE"/>
              </w:rPr>
              <w:tab/>
            </w:r>
            <w:r w:rsidR="007D1FBB" w:rsidRPr="00486378">
              <w:rPr>
                <w:lang w:eastAsia="de-DE"/>
              </w:rPr>
              <w:t>600 x 400 x 280 mm</w:t>
            </w:r>
          </w:p>
          <w:p w14:paraId="3FAA5303" w14:textId="77777777" w:rsidR="007D1FBB" w:rsidRPr="00486378" w:rsidRDefault="0004349D" w:rsidP="0004349D">
            <w:pPr>
              <w:pStyle w:val="BodyText"/>
              <w:tabs>
                <w:tab w:val="left" w:pos="2802"/>
              </w:tabs>
              <w:rPr>
                <w:lang w:eastAsia="de-DE"/>
              </w:rPr>
            </w:pPr>
            <w:r>
              <w:rPr>
                <w:lang w:eastAsia="de-DE"/>
              </w:rPr>
              <w:t>Innenmaß:</w:t>
            </w:r>
            <w:r>
              <w:rPr>
                <w:lang w:eastAsia="de-DE"/>
              </w:rPr>
              <w:tab/>
            </w:r>
            <w:r w:rsidR="007D1FBB" w:rsidRPr="00486378">
              <w:rPr>
                <w:lang w:eastAsia="de-DE"/>
              </w:rPr>
              <w:t>532 x 346 x 231 mm</w:t>
            </w:r>
          </w:p>
          <w:p w14:paraId="043F7548" w14:textId="77777777" w:rsidR="007D1FBB" w:rsidRPr="00486378" w:rsidRDefault="0004349D" w:rsidP="0004349D">
            <w:pPr>
              <w:pStyle w:val="BodyText"/>
              <w:tabs>
                <w:tab w:val="left" w:pos="2802"/>
              </w:tabs>
              <w:rPr>
                <w:lang w:eastAsia="de-DE"/>
              </w:rPr>
            </w:pPr>
            <w:r>
              <w:rPr>
                <w:lang w:eastAsia="de-DE"/>
              </w:rPr>
              <w:t>Außenmaß:</w:t>
            </w:r>
            <w:r>
              <w:rPr>
                <w:lang w:eastAsia="de-DE"/>
              </w:rPr>
              <w:tab/>
            </w:r>
            <w:r w:rsidR="007D1FBB" w:rsidRPr="00486378">
              <w:rPr>
                <w:lang w:eastAsia="de-DE"/>
              </w:rPr>
              <w:t>594 x 396 x 280 mm</w:t>
            </w:r>
          </w:p>
          <w:p w14:paraId="118300CF" w14:textId="77777777" w:rsidR="007D1FBB" w:rsidRPr="00486378" w:rsidRDefault="0004349D" w:rsidP="0004349D">
            <w:pPr>
              <w:pStyle w:val="BodyText"/>
              <w:tabs>
                <w:tab w:val="left" w:pos="2802"/>
              </w:tabs>
              <w:rPr>
                <w:lang w:eastAsia="de-DE"/>
              </w:rPr>
            </w:pPr>
            <w:r>
              <w:rPr>
                <w:lang w:eastAsia="de-DE"/>
              </w:rPr>
              <w:t>Gewicht:</w:t>
            </w:r>
            <w:r>
              <w:rPr>
                <w:lang w:eastAsia="de-DE"/>
              </w:rPr>
              <w:tab/>
            </w:r>
            <w:r w:rsidR="007D1FBB" w:rsidRPr="00486378">
              <w:rPr>
                <w:lang w:eastAsia="de-DE"/>
              </w:rPr>
              <w:t>4,4 Kg</w:t>
            </w:r>
          </w:p>
          <w:p w14:paraId="69C2BAC5" w14:textId="77777777" w:rsidR="007D1FBB" w:rsidRPr="00B320DF" w:rsidRDefault="007D1FBB" w:rsidP="007D1FBB">
            <w:pPr>
              <w:pStyle w:val="BodyText"/>
              <w:rPr>
                <w:b/>
                <w:lang w:eastAsia="de-DE"/>
              </w:rPr>
            </w:pPr>
          </w:p>
        </w:tc>
        <w:tc>
          <w:tcPr>
            <w:tcW w:w="2723" w:type="dxa"/>
            <w:shd w:val="clear" w:color="auto" w:fill="auto"/>
          </w:tcPr>
          <w:p w14:paraId="6E8412E5" w14:textId="794A810F" w:rsidR="007D1FBB" w:rsidRDefault="00A16B1A" w:rsidP="007D1FBB">
            <w:pPr>
              <w:pStyle w:val="BodyText"/>
              <w:rPr>
                <w:noProof/>
                <w:lang w:eastAsia="de-DE"/>
              </w:rPr>
            </w:pPr>
            <w:r w:rsidRPr="00D66F67">
              <w:rPr>
                <w:noProof/>
                <w:lang w:eastAsia="de-DE"/>
              </w:rPr>
              <w:drawing>
                <wp:inline distT="0" distB="0" distL="0" distR="0" wp14:anchorId="54092450" wp14:editId="4D600FC9">
                  <wp:extent cx="1431925" cy="97472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974725"/>
                          </a:xfrm>
                          <a:prstGeom prst="rect">
                            <a:avLst/>
                          </a:prstGeom>
                          <a:noFill/>
                          <a:ln>
                            <a:noFill/>
                          </a:ln>
                        </pic:spPr>
                      </pic:pic>
                    </a:graphicData>
                  </a:graphic>
                </wp:inline>
              </w:drawing>
            </w:r>
          </w:p>
          <w:p w14:paraId="5BD5DAA5" w14:textId="77777777" w:rsidR="007D1FBB" w:rsidRPr="00D66F67" w:rsidRDefault="007D1FBB" w:rsidP="007D1FBB">
            <w:pPr>
              <w:pStyle w:val="BodyText"/>
              <w:rPr>
                <w:noProof/>
                <w:lang w:eastAsia="de-DE"/>
              </w:rPr>
            </w:pPr>
          </w:p>
        </w:tc>
      </w:tr>
      <w:tr w:rsidR="007D1FBB" w:rsidRPr="00B320DF" w14:paraId="200E500C" w14:textId="77777777" w:rsidTr="004E6DAB">
        <w:tc>
          <w:tcPr>
            <w:tcW w:w="6487" w:type="dxa"/>
            <w:shd w:val="clear" w:color="auto" w:fill="auto"/>
          </w:tcPr>
          <w:p w14:paraId="2E551D24" w14:textId="77777777" w:rsidR="007D1FBB" w:rsidRPr="00B320DF" w:rsidRDefault="007D1FBB" w:rsidP="007D1FBB">
            <w:pPr>
              <w:pStyle w:val="BodyText"/>
              <w:rPr>
                <w:b/>
                <w:lang w:eastAsia="de-DE"/>
              </w:rPr>
            </w:pPr>
            <w:r w:rsidRPr="00B320DF">
              <w:rPr>
                <w:b/>
                <w:lang w:eastAsia="de-DE"/>
              </w:rPr>
              <w:t>Kleinladungsträger L-KLT 6280, signalblau RAL 5005,</w:t>
            </w:r>
          </w:p>
          <w:p w14:paraId="124BB470" w14:textId="77777777" w:rsidR="007D1FBB" w:rsidRPr="00B320DF" w:rsidRDefault="007D1FBB" w:rsidP="007D1FBB">
            <w:pPr>
              <w:pStyle w:val="BodyText"/>
              <w:rPr>
                <w:b/>
                <w:lang w:eastAsia="de-DE"/>
              </w:rPr>
            </w:pPr>
            <w:r w:rsidRPr="00B320DF">
              <w:rPr>
                <w:b/>
                <w:lang w:eastAsia="de-DE"/>
              </w:rPr>
              <w:t>mit Bodenlöchern</w:t>
            </w:r>
          </w:p>
          <w:p w14:paraId="7D55F5AA" w14:textId="77777777" w:rsidR="007D1FBB" w:rsidRPr="00486378" w:rsidRDefault="0004349D" w:rsidP="0004349D">
            <w:pPr>
              <w:pStyle w:val="BodyText"/>
              <w:tabs>
                <w:tab w:val="left" w:pos="2865"/>
              </w:tabs>
              <w:rPr>
                <w:lang w:eastAsia="de-DE"/>
              </w:rPr>
            </w:pPr>
            <w:r>
              <w:rPr>
                <w:lang w:eastAsia="de-DE"/>
              </w:rPr>
              <w:t>Nennmaß:</w:t>
            </w:r>
            <w:r>
              <w:rPr>
                <w:lang w:eastAsia="de-DE"/>
              </w:rPr>
              <w:tab/>
            </w:r>
            <w:r w:rsidR="007D1FBB" w:rsidRPr="00486378">
              <w:rPr>
                <w:lang w:eastAsia="de-DE"/>
              </w:rPr>
              <w:t>600 x 400 x 280 mm</w:t>
            </w:r>
          </w:p>
          <w:p w14:paraId="65BE77D0" w14:textId="77777777" w:rsidR="007D1FBB" w:rsidRPr="00486378" w:rsidRDefault="0004349D" w:rsidP="0004349D">
            <w:pPr>
              <w:pStyle w:val="BodyText"/>
              <w:tabs>
                <w:tab w:val="left" w:pos="2865"/>
              </w:tabs>
              <w:rPr>
                <w:lang w:eastAsia="de-DE"/>
              </w:rPr>
            </w:pPr>
            <w:r>
              <w:rPr>
                <w:lang w:eastAsia="de-DE"/>
              </w:rPr>
              <w:t>Innenmaß:</w:t>
            </w:r>
            <w:r>
              <w:rPr>
                <w:lang w:eastAsia="de-DE"/>
              </w:rPr>
              <w:tab/>
            </w:r>
            <w:r w:rsidR="007D1FBB" w:rsidRPr="00486378">
              <w:rPr>
                <w:lang w:eastAsia="de-DE"/>
              </w:rPr>
              <w:t>541 x 360 x 261 mm</w:t>
            </w:r>
          </w:p>
          <w:p w14:paraId="5707468B" w14:textId="77777777" w:rsidR="007D1FBB" w:rsidRPr="00486378" w:rsidRDefault="0004349D" w:rsidP="0004349D">
            <w:pPr>
              <w:pStyle w:val="BodyText"/>
              <w:tabs>
                <w:tab w:val="left" w:pos="2865"/>
              </w:tabs>
              <w:rPr>
                <w:lang w:eastAsia="de-DE"/>
              </w:rPr>
            </w:pPr>
            <w:r>
              <w:rPr>
                <w:lang w:eastAsia="de-DE"/>
              </w:rPr>
              <w:t>Außenmaß:</w:t>
            </w:r>
            <w:r>
              <w:rPr>
                <w:lang w:eastAsia="de-DE"/>
              </w:rPr>
              <w:tab/>
            </w:r>
            <w:r w:rsidR="007D1FBB" w:rsidRPr="00486378">
              <w:rPr>
                <w:lang w:eastAsia="de-DE"/>
              </w:rPr>
              <w:t>594 x 396 x 280 mm</w:t>
            </w:r>
          </w:p>
          <w:p w14:paraId="4D2A367C" w14:textId="77777777" w:rsidR="007D1FBB" w:rsidRPr="00486378" w:rsidRDefault="0004349D" w:rsidP="0004349D">
            <w:pPr>
              <w:pStyle w:val="BodyText"/>
              <w:tabs>
                <w:tab w:val="left" w:pos="2865"/>
              </w:tabs>
              <w:rPr>
                <w:lang w:eastAsia="de-DE"/>
              </w:rPr>
            </w:pPr>
            <w:r>
              <w:rPr>
                <w:lang w:eastAsia="de-DE"/>
              </w:rPr>
              <w:t>Gewicht:</w:t>
            </w:r>
            <w:r>
              <w:rPr>
                <w:lang w:eastAsia="de-DE"/>
              </w:rPr>
              <w:tab/>
            </w:r>
            <w:r w:rsidR="007D1FBB" w:rsidRPr="00486378">
              <w:rPr>
                <w:lang w:eastAsia="de-DE"/>
              </w:rPr>
              <w:t>2,5 Kg</w:t>
            </w:r>
          </w:p>
          <w:p w14:paraId="677913C7" w14:textId="77777777" w:rsidR="007D1FBB" w:rsidRPr="00B320DF" w:rsidRDefault="007D1FBB" w:rsidP="007D1FBB">
            <w:pPr>
              <w:pStyle w:val="BodyText"/>
              <w:rPr>
                <w:b/>
                <w:lang w:eastAsia="de-DE"/>
              </w:rPr>
            </w:pPr>
          </w:p>
        </w:tc>
        <w:tc>
          <w:tcPr>
            <w:tcW w:w="2723" w:type="dxa"/>
            <w:shd w:val="clear" w:color="auto" w:fill="auto"/>
          </w:tcPr>
          <w:p w14:paraId="2AF8A63E" w14:textId="0A99A470" w:rsidR="007D1FBB" w:rsidRPr="00D66F67" w:rsidRDefault="00A16B1A" w:rsidP="007D1FBB">
            <w:pPr>
              <w:pStyle w:val="BodyText"/>
              <w:rPr>
                <w:noProof/>
                <w:lang w:eastAsia="de-DE"/>
              </w:rPr>
            </w:pPr>
            <w:r w:rsidRPr="00D66F67">
              <w:rPr>
                <w:noProof/>
                <w:lang w:eastAsia="de-DE"/>
              </w:rPr>
              <w:drawing>
                <wp:inline distT="0" distB="0" distL="0" distR="0" wp14:anchorId="7DC30473" wp14:editId="64B0C4F4">
                  <wp:extent cx="1431925" cy="85407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tc>
      </w:tr>
      <w:tr w:rsidR="007D1FBB" w:rsidRPr="00B320DF" w14:paraId="4254F108" w14:textId="77777777" w:rsidTr="004E6DAB">
        <w:tc>
          <w:tcPr>
            <w:tcW w:w="6487" w:type="dxa"/>
            <w:shd w:val="clear" w:color="auto" w:fill="auto"/>
          </w:tcPr>
          <w:p w14:paraId="6021A6B0" w14:textId="77777777" w:rsidR="000F7207" w:rsidRPr="00B320DF" w:rsidRDefault="000F7207" w:rsidP="000F7207">
            <w:pPr>
              <w:pStyle w:val="BodyText"/>
              <w:rPr>
                <w:b/>
                <w:lang w:eastAsia="de-DE"/>
              </w:rPr>
            </w:pPr>
            <w:r w:rsidRPr="00B320DF">
              <w:rPr>
                <w:b/>
                <w:lang w:eastAsia="de-DE"/>
              </w:rPr>
              <w:t>KTP 114777</w:t>
            </w:r>
          </w:p>
          <w:p w14:paraId="06048EF9" w14:textId="77777777" w:rsidR="000F7207" w:rsidRPr="00486378" w:rsidRDefault="0004349D" w:rsidP="0004349D">
            <w:pPr>
              <w:pStyle w:val="BodyText"/>
              <w:tabs>
                <w:tab w:val="left" w:pos="2849"/>
              </w:tabs>
              <w:rPr>
                <w:lang w:eastAsia="de-DE"/>
              </w:rPr>
            </w:pPr>
            <w:r>
              <w:rPr>
                <w:lang w:eastAsia="de-DE"/>
              </w:rPr>
              <w:t>Innenmaß:</w:t>
            </w:r>
            <w:r>
              <w:rPr>
                <w:lang w:eastAsia="de-DE"/>
              </w:rPr>
              <w:tab/>
            </w:r>
            <w:r w:rsidR="000F7207" w:rsidRPr="00486378">
              <w:rPr>
                <w:lang w:eastAsia="de-DE"/>
              </w:rPr>
              <w:t>1170 x 770 x 755 mm</w:t>
            </w:r>
          </w:p>
          <w:p w14:paraId="77EDA28C" w14:textId="77777777" w:rsidR="000F7207" w:rsidRPr="00486378" w:rsidRDefault="0004349D" w:rsidP="0004349D">
            <w:pPr>
              <w:pStyle w:val="BodyText"/>
              <w:tabs>
                <w:tab w:val="left" w:pos="2849"/>
              </w:tabs>
              <w:rPr>
                <w:lang w:eastAsia="de-DE"/>
              </w:rPr>
            </w:pPr>
            <w:r>
              <w:rPr>
                <w:lang w:eastAsia="de-DE"/>
              </w:rPr>
              <w:t>Außenmaß:</w:t>
            </w:r>
            <w:r>
              <w:rPr>
                <w:lang w:eastAsia="de-DE"/>
              </w:rPr>
              <w:tab/>
            </w:r>
            <w:r w:rsidR="000F7207" w:rsidRPr="00486378">
              <w:rPr>
                <w:lang w:eastAsia="de-DE"/>
              </w:rPr>
              <w:t>1230 x 830 x 945 mm</w:t>
            </w:r>
          </w:p>
          <w:p w14:paraId="7281C89F" w14:textId="77777777" w:rsidR="000F7207" w:rsidRPr="00486378" w:rsidRDefault="0004349D" w:rsidP="0004349D">
            <w:pPr>
              <w:pStyle w:val="BodyText"/>
              <w:tabs>
                <w:tab w:val="left" w:pos="2849"/>
              </w:tabs>
              <w:rPr>
                <w:lang w:eastAsia="de-DE"/>
              </w:rPr>
            </w:pPr>
            <w:r>
              <w:rPr>
                <w:lang w:eastAsia="de-DE"/>
              </w:rPr>
              <w:t>Gesamtgewicht:</w:t>
            </w:r>
            <w:r>
              <w:rPr>
                <w:lang w:eastAsia="de-DE"/>
              </w:rPr>
              <w:tab/>
            </w:r>
            <w:r w:rsidR="000F7207" w:rsidRPr="00486378">
              <w:rPr>
                <w:lang w:eastAsia="de-DE"/>
              </w:rPr>
              <w:t>36 Kg</w:t>
            </w:r>
          </w:p>
          <w:p w14:paraId="77FA6E06" w14:textId="77777777" w:rsidR="000F7207" w:rsidRPr="00486378" w:rsidRDefault="0004349D" w:rsidP="0004349D">
            <w:pPr>
              <w:pStyle w:val="BodyText"/>
              <w:tabs>
                <w:tab w:val="left" w:pos="2849"/>
              </w:tabs>
              <w:rPr>
                <w:lang w:eastAsia="de-DE"/>
              </w:rPr>
            </w:pPr>
            <w:proofErr w:type="spellStart"/>
            <w:r>
              <w:rPr>
                <w:lang w:eastAsia="de-DE"/>
              </w:rPr>
              <w:t>Palettengewicht</w:t>
            </w:r>
            <w:proofErr w:type="spellEnd"/>
            <w:r>
              <w:rPr>
                <w:lang w:eastAsia="de-DE"/>
              </w:rPr>
              <w:t>:</w:t>
            </w:r>
            <w:r>
              <w:rPr>
                <w:lang w:eastAsia="de-DE"/>
              </w:rPr>
              <w:tab/>
            </w:r>
            <w:r w:rsidR="000F7207" w:rsidRPr="00486378">
              <w:rPr>
                <w:lang w:eastAsia="de-DE"/>
              </w:rPr>
              <w:t>17 Kg</w:t>
            </w:r>
          </w:p>
          <w:p w14:paraId="5D5BDC88" w14:textId="77777777" w:rsidR="000F7207" w:rsidRPr="00486378" w:rsidRDefault="0004349D" w:rsidP="0004349D">
            <w:pPr>
              <w:pStyle w:val="BodyText"/>
              <w:tabs>
                <w:tab w:val="left" w:pos="2849"/>
              </w:tabs>
              <w:rPr>
                <w:lang w:eastAsia="de-DE"/>
              </w:rPr>
            </w:pPr>
            <w:r>
              <w:rPr>
                <w:lang w:eastAsia="de-DE"/>
              </w:rPr>
              <w:t>Deckelgewicht:</w:t>
            </w:r>
            <w:r>
              <w:rPr>
                <w:lang w:eastAsia="de-DE"/>
              </w:rPr>
              <w:tab/>
            </w:r>
            <w:r w:rsidR="000F7207" w:rsidRPr="00486378">
              <w:rPr>
                <w:lang w:eastAsia="de-DE"/>
              </w:rPr>
              <w:t>8,5 Kg</w:t>
            </w:r>
          </w:p>
          <w:p w14:paraId="28282D17" w14:textId="77777777" w:rsidR="000F7207" w:rsidRPr="00486378" w:rsidRDefault="0004349D" w:rsidP="0004349D">
            <w:pPr>
              <w:pStyle w:val="BodyText"/>
              <w:tabs>
                <w:tab w:val="left" w:pos="2849"/>
              </w:tabs>
              <w:rPr>
                <w:lang w:eastAsia="de-DE"/>
              </w:rPr>
            </w:pPr>
            <w:r>
              <w:rPr>
                <w:lang w:eastAsia="de-DE"/>
              </w:rPr>
              <w:t>Max. Nutzlast:</w:t>
            </w:r>
            <w:r>
              <w:rPr>
                <w:lang w:eastAsia="de-DE"/>
              </w:rPr>
              <w:tab/>
            </w:r>
            <w:r w:rsidR="000F7207" w:rsidRPr="00486378">
              <w:rPr>
                <w:lang w:eastAsia="de-DE"/>
              </w:rPr>
              <w:t>250 Kg</w:t>
            </w:r>
          </w:p>
          <w:p w14:paraId="2856A379" w14:textId="77777777" w:rsidR="000F7207" w:rsidRPr="00486378" w:rsidRDefault="0004349D" w:rsidP="0004349D">
            <w:pPr>
              <w:pStyle w:val="BodyText"/>
              <w:tabs>
                <w:tab w:val="left" w:pos="2849"/>
              </w:tabs>
              <w:rPr>
                <w:lang w:eastAsia="de-DE"/>
              </w:rPr>
            </w:pPr>
            <w:r>
              <w:rPr>
                <w:lang w:eastAsia="de-DE"/>
              </w:rPr>
              <w:t>Stapelfaktor:</w:t>
            </w:r>
            <w:r>
              <w:rPr>
                <w:lang w:eastAsia="de-DE"/>
              </w:rPr>
              <w:tab/>
            </w:r>
            <w:r w:rsidR="000F7207" w:rsidRPr="00486378">
              <w:rPr>
                <w:lang w:eastAsia="de-DE"/>
              </w:rPr>
              <w:t>1 + 4</w:t>
            </w:r>
          </w:p>
          <w:p w14:paraId="1ECA23D0" w14:textId="77777777" w:rsidR="000F7207" w:rsidRPr="00486378" w:rsidRDefault="0004349D" w:rsidP="0004349D">
            <w:pPr>
              <w:pStyle w:val="BodyText"/>
              <w:tabs>
                <w:tab w:val="left" w:pos="2849"/>
              </w:tabs>
              <w:rPr>
                <w:lang w:eastAsia="de-DE"/>
              </w:rPr>
            </w:pPr>
            <w:r>
              <w:rPr>
                <w:lang w:eastAsia="de-DE"/>
              </w:rPr>
              <w:t xml:space="preserve">Rückführung leer: </w:t>
            </w:r>
            <w:r>
              <w:rPr>
                <w:lang w:eastAsia="de-DE"/>
              </w:rPr>
              <w:tab/>
            </w:r>
            <w:proofErr w:type="gramStart"/>
            <w:r w:rsidR="000F7207" w:rsidRPr="00486378">
              <w:rPr>
                <w:lang w:eastAsia="de-DE"/>
              </w:rPr>
              <w:t>1 :</w:t>
            </w:r>
            <w:proofErr w:type="gramEnd"/>
            <w:r w:rsidR="000F7207" w:rsidRPr="00486378">
              <w:rPr>
                <w:lang w:eastAsia="de-DE"/>
              </w:rPr>
              <w:t xml:space="preserve"> 4,5</w:t>
            </w:r>
          </w:p>
          <w:p w14:paraId="4BCCA7A5" w14:textId="77777777" w:rsidR="007D1FBB" w:rsidRPr="00B320DF" w:rsidRDefault="007D1FBB" w:rsidP="007D1FBB">
            <w:pPr>
              <w:pStyle w:val="BodyText"/>
              <w:rPr>
                <w:b/>
                <w:lang w:eastAsia="de-DE"/>
              </w:rPr>
            </w:pPr>
          </w:p>
        </w:tc>
        <w:tc>
          <w:tcPr>
            <w:tcW w:w="2723" w:type="dxa"/>
            <w:shd w:val="clear" w:color="auto" w:fill="auto"/>
          </w:tcPr>
          <w:p w14:paraId="054850EB" w14:textId="01C0DEDB" w:rsidR="007D1FBB" w:rsidRPr="00D66F67" w:rsidRDefault="00A16B1A" w:rsidP="007D1FBB">
            <w:pPr>
              <w:pStyle w:val="BodyText"/>
              <w:rPr>
                <w:noProof/>
                <w:lang w:eastAsia="de-DE"/>
              </w:rPr>
            </w:pPr>
            <w:r w:rsidRPr="00D66F67">
              <w:rPr>
                <w:noProof/>
                <w:lang w:eastAsia="de-DE"/>
              </w:rPr>
              <w:drawing>
                <wp:inline distT="0" distB="0" distL="0" distR="0" wp14:anchorId="3D8EA57D" wp14:editId="62774881">
                  <wp:extent cx="1423670" cy="1198880"/>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3670" cy="1198880"/>
                          </a:xfrm>
                          <a:prstGeom prst="rect">
                            <a:avLst/>
                          </a:prstGeom>
                          <a:noFill/>
                          <a:ln>
                            <a:noFill/>
                          </a:ln>
                        </pic:spPr>
                      </pic:pic>
                    </a:graphicData>
                  </a:graphic>
                </wp:inline>
              </w:drawing>
            </w:r>
          </w:p>
        </w:tc>
      </w:tr>
      <w:tr w:rsidR="007D1FBB" w:rsidRPr="00B320DF" w14:paraId="26A1DB0F" w14:textId="77777777" w:rsidTr="004E6DAB">
        <w:tc>
          <w:tcPr>
            <w:tcW w:w="6487" w:type="dxa"/>
            <w:shd w:val="clear" w:color="auto" w:fill="auto"/>
          </w:tcPr>
          <w:p w14:paraId="4FAF9972" w14:textId="77777777" w:rsidR="000F7207" w:rsidRPr="00B320DF" w:rsidRDefault="000F7207" w:rsidP="000F7207">
            <w:pPr>
              <w:pStyle w:val="BodyText"/>
              <w:rPr>
                <w:b/>
              </w:rPr>
            </w:pPr>
            <w:r w:rsidRPr="00B320DF">
              <w:rPr>
                <w:b/>
              </w:rPr>
              <w:t xml:space="preserve">KTP 114888 </w:t>
            </w:r>
          </w:p>
          <w:p w14:paraId="1E9E8694" w14:textId="77777777" w:rsidR="000F7207" w:rsidRPr="00486378" w:rsidRDefault="0004349D" w:rsidP="0004349D">
            <w:pPr>
              <w:pStyle w:val="BodyText"/>
              <w:tabs>
                <w:tab w:val="left" w:pos="2865"/>
              </w:tabs>
            </w:pPr>
            <w:r>
              <w:t>Innenmaß:</w:t>
            </w:r>
            <w:r>
              <w:tab/>
            </w:r>
            <w:r w:rsidR="000F7207" w:rsidRPr="00486378">
              <w:t>1140 x 945 x 815 mm</w:t>
            </w:r>
          </w:p>
          <w:p w14:paraId="429D9F47" w14:textId="77777777" w:rsidR="000F7207" w:rsidRPr="00486378" w:rsidRDefault="0004349D" w:rsidP="0004349D">
            <w:pPr>
              <w:pStyle w:val="BodyText"/>
              <w:tabs>
                <w:tab w:val="left" w:pos="2865"/>
              </w:tabs>
            </w:pPr>
            <w:r>
              <w:t>Außenmaß:</w:t>
            </w:r>
            <w:r>
              <w:tab/>
            </w:r>
            <w:r w:rsidR="000F7207" w:rsidRPr="00486378">
              <w:t>1200 x 1000x 990 mm</w:t>
            </w:r>
          </w:p>
          <w:p w14:paraId="33F43385" w14:textId="77777777" w:rsidR="000F7207" w:rsidRPr="00486378" w:rsidRDefault="0004349D" w:rsidP="0004349D">
            <w:pPr>
              <w:pStyle w:val="BodyText"/>
              <w:tabs>
                <w:tab w:val="left" w:pos="2865"/>
              </w:tabs>
            </w:pPr>
            <w:r>
              <w:t>Gesamtgewicht:</w:t>
            </w:r>
            <w:r>
              <w:tab/>
            </w:r>
            <w:r w:rsidR="000F7207" w:rsidRPr="00486378">
              <w:t>39 Kg</w:t>
            </w:r>
          </w:p>
          <w:p w14:paraId="3A694F28" w14:textId="77777777" w:rsidR="000F7207" w:rsidRPr="00486378" w:rsidRDefault="000F7207" w:rsidP="0004349D">
            <w:pPr>
              <w:pStyle w:val="BodyText"/>
              <w:tabs>
                <w:tab w:val="left" w:pos="2865"/>
              </w:tabs>
            </w:pPr>
            <w:proofErr w:type="spellStart"/>
            <w:r w:rsidRPr="00486378">
              <w:t>Palet</w:t>
            </w:r>
            <w:r w:rsidR="0004349D">
              <w:t>tengewicht</w:t>
            </w:r>
            <w:proofErr w:type="spellEnd"/>
            <w:r w:rsidR="0004349D">
              <w:t>:</w:t>
            </w:r>
            <w:r w:rsidR="0004349D">
              <w:tab/>
            </w:r>
            <w:r w:rsidRPr="00486378">
              <w:t>18,5 Kg</w:t>
            </w:r>
          </w:p>
          <w:p w14:paraId="750E8333" w14:textId="77777777" w:rsidR="000F7207" w:rsidRPr="00486378" w:rsidRDefault="0004349D" w:rsidP="0004349D">
            <w:pPr>
              <w:pStyle w:val="BodyText"/>
              <w:tabs>
                <w:tab w:val="left" w:pos="2865"/>
              </w:tabs>
            </w:pPr>
            <w:r>
              <w:t>Deckelgewicht:</w:t>
            </w:r>
            <w:r>
              <w:tab/>
            </w:r>
            <w:r w:rsidR="000F7207" w:rsidRPr="00486378">
              <w:t>9 Kg</w:t>
            </w:r>
          </w:p>
          <w:p w14:paraId="48CC3B48" w14:textId="77777777" w:rsidR="000F7207" w:rsidRPr="00486378" w:rsidRDefault="0004349D" w:rsidP="0004349D">
            <w:pPr>
              <w:pStyle w:val="BodyText"/>
              <w:tabs>
                <w:tab w:val="left" w:pos="2865"/>
              </w:tabs>
            </w:pPr>
            <w:r>
              <w:t>Max. Nutzlast:</w:t>
            </w:r>
            <w:r>
              <w:tab/>
            </w:r>
            <w:r w:rsidR="000F7207" w:rsidRPr="00486378">
              <w:t>250 Kg</w:t>
            </w:r>
          </w:p>
          <w:p w14:paraId="5E0B0774" w14:textId="77777777" w:rsidR="000F7207" w:rsidRPr="00486378" w:rsidRDefault="0004349D" w:rsidP="0004349D">
            <w:pPr>
              <w:pStyle w:val="BodyText"/>
              <w:tabs>
                <w:tab w:val="left" w:pos="2865"/>
              </w:tabs>
            </w:pPr>
            <w:r>
              <w:t>Stapelfaktor:</w:t>
            </w:r>
            <w:r>
              <w:tab/>
            </w:r>
            <w:r w:rsidR="000F7207" w:rsidRPr="00486378">
              <w:t>1 + 5</w:t>
            </w:r>
          </w:p>
          <w:p w14:paraId="6829E639" w14:textId="77777777" w:rsidR="000F7207" w:rsidRPr="00486378" w:rsidRDefault="0004349D" w:rsidP="0004349D">
            <w:pPr>
              <w:pStyle w:val="BodyText"/>
              <w:tabs>
                <w:tab w:val="left" w:pos="2865"/>
              </w:tabs>
            </w:pPr>
            <w:r>
              <w:t>Rückführung leer:</w:t>
            </w:r>
            <w:r>
              <w:tab/>
            </w:r>
            <w:proofErr w:type="gramStart"/>
            <w:r w:rsidR="000F7207" w:rsidRPr="00486378">
              <w:t>1 :</w:t>
            </w:r>
            <w:proofErr w:type="gramEnd"/>
            <w:r w:rsidR="000F7207" w:rsidRPr="00486378">
              <w:t xml:space="preserve"> 4,5</w:t>
            </w:r>
          </w:p>
          <w:p w14:paraId="2A7206EE" w14:textId="77777777" w:rsidR="007D1FBB" w:rsidRPr="00B320DF" w:rsidRDefault="007D1FBB" w:rsidP="007D1FBB">
            <w:pPr>
              <w:pStyle w:val="BodyText"/>
              <w:rPr>
                <w:b/>
                <w:lang w:eastAsia="de-DE"/>
              </w:rPr>
            </w:pPr>
          </w:p>
        </w:tc>
        <w:tc>
          <w:tcPr>
            <w:tcW w:w="2723" w:type="dxa"/>
            <w:shd w:val="clear" w:color="auto" w:fill="auto"/>
          </w:tcPr>
          <w:p w14:paraId="7380935A" w14:textId="0BAA7FB6" w:rsidR="007D1FBB" w:rsidRPr="00D66F67" w:rsidRDefault="00A16B1A" w:rsidP="007D1FBB">
            <w:pPr>
              <w:pStyle w:val="BodyText"/>
              <w:rPr>
                <w:noProof/>
                <w:lang w:eastAsia="de-DE"/>
              </w:rPr>
            </w:pPr>
            <w:r w:rsidRPr="00D66F67">
              <w:rPr>
                <w:noProof/>
                <w:lang w:eastAsia="de-DE"/>
              </w:rPr>
              <w:drawing>
                <wp:inline distT="0" distB="0" distL="0" distR="0" wp14:anchorId="246F940A" wp14:editId="60265F76">
                  <wp:extent cx="1224915" cy="115570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915" cy="1155700"/>
                          </a:xfrm>
                          <a:prstGeom prst="rect">
                            <a:avLst/>
                          </a:prstGeom>
                          <a:noFill/>
                          <a:ln>
                            <a:noFill/>
                          </a:ln>
                        </pic:spPr>
                      </pic:pic>
                    </a:graphicData>
                  </a:graphic>
                </wp:inline>
              </w:drawing>
            </w:r>
          </w:p>
        </w:tc>
      </w:tr>
    </w:tbl>
    <w:p w14:paraId="2A5D8F90" w14:textId="77777777" w:rsidR="00486378" w:rsidRPr="00486378" w:rsidRDefault="00486378" w:rsidP="00736598">
      <w:pPr>
        <w:pStyle w:val="BodyText"/>
        <w:rPr>
          <w:lang w:eastAsia="de-DE"/>
        </w:rPr>
      </w:pPr>
    </w:p>
    <w:p w14:paraId="62595B3B" w14:textId="77777777" w:rsidR="00486378" w:rsidRPr="00486378" w:rsidRDefault="00486378" w:rsidP="00736598">
      <w:pPr>
        <w:pStyle w:val="b3"/>
        <w:rPr>
          <w:lang w:eastAsia="de-DE"/>
        </w:rPr>
      </w:pPr>
      <w:bookmarkStart w:id="80" w:name="_Toc179342327"/>
      <w:r w:rsidRPr="00486378">
        <w:rPr>
          <w:lang w:eastAsia="de-DE"/>
        </w:rPr>
        <w:t xml:space="preserve">Beispiele für </w:t>
      </w:r>
      <w:r w:rsidR="00AC6BB7">
        <w:rPr>
          <w:lang w:eastAsia="de-DE"/>
        </w:rPr>
        <w:t>GRAMMER</w:t>
      </w:r>
      <w:r w:rsidRPr="00486378">
        <w:rPr>
          <w:lang w:eastAsia="de-DE"/>
        </w:rPr>
        <w:t xml:space="preserve"> </w:t>
      </w:r>
      <w:bookmarkStart w:id="81" w:name="Spezialverpackungen"/>
      <w:r w:rsidRPr="00486378">
        <w:rPr>
          <w:lang w:eastAsia="de-DE"/>
        </w:rPr>
        <w:t>Spezialverpackungen</w:t>
      </w:r>
      <w:bookmarkEnd w:id="80"/>
      <w:bookmarkEnd w:id="81"/>
    </w:p>
    <w:p w14:paraId="190DD10F" w14:textId="77777777" w:rsidR="00486378" w:rsidRPr="00486378" w:rsidRDefault="00486378" w:rsidP="007C7C16">
      <w:pPr>
        <w:pStyle w:val="Textkrper-Aufzhlung"/>
      </w:pPr>
      <w:proofErr w:type="spellStart"/>
      <w:r w:rsidRPr="00486378">
        <w:t>Tiefziehgefache</w:t>
      </w:r>
      <w:proofErr w:type="spellEnd"/>
    </w:p>
    <w:p w14:paraId="4219F222" w14:textId="77777777" w:rsidR="00486378" w:rsidRPr="00486378" w:rsidRDefault="00486378" w:rsidP="007C7C16">
      <w:pPr>
        <w:pStyle w:val="Textkrper-Aufzhlung"/>
      </w:pPr>
      <w:r w:rsidRPr="00486378">
        <w:t>EPP – Behälter</w:t>
      </w:r>
    </w:p>
    <w:p w14:paraId="786AD957" w14:textId="77777777" w:rsidR="00486378" w:rsidRPr="00486378" w:rsidRDefault="00AC6BB7" w:rsidP="007C7C16">
      <w:pPr>
        <w:pStyle w:val="Textkrper-Aufzhlung"/>
      </w:pPr>
      <w:proofErr w:type="spellStart"/>
      <w:r>
        <w:t>R</w:t>
      </w:r>
      <w:r w:rsidR="00486378" w:rsidRPr="00486378">
        <w:t>ahmengefache</w:t>
      </w:r>
      <w:proofErr w:type="spellEnd"/>
    </w:p>
    <w:p w14:paraId="3620DA63" w14:textId="77777777" w:rsidR="00486378" w:rsidRDefault="00486378" w:rsidP="007C7C16">
      <w:pPr>
        <w:pStyle w:val="Textkrper-Aufzhlung"/>
      </w:pPr>
      <w:r w:rsidRPr="00486378">
        <w:t>Transportgestell aus Stahl</w:t>
      </w:r>
    </w:p>
    <w:p w14:paraId="2566E481" w14:textId="77777777" w:rsidR="000F7207" w:rsidRDefault="000F7207" w:rsidP="000F7207">
      <w:pPr>
        <w:pStyle w:val="Textkrper-Aufzhlung"/>
        <w:numPr>
          <w:ilvl w:val="0"/>
          <w:numId w:val="0"/>
        </w:numPr>
        <w:ind w:left="357" w:hanging="357"/>
      </w:pPr>
    </w:p>
    <w:tbl>
      <w:tblPr>
        <w:tblW w:w="0" w:type="auto"/>
        <w:tblInd w:w="357" w:type="dxa"/>
        <w:tblLook w:val="04A0" w:firstRow="1" w:lastRow="0" w:firstColumn="1" w:lastColumn="0" w:noHBand="0" w:noVBand="1"/>
      </w:tblPr>
      <w:tblGrid>
        <w:gridCol w:w="2899"/>
        <w:gridCol w:w="2908"/>
        <w:gridCol w:w="2906"/>
      </w:tblGrid>
      <w:tr w:rsidR="000F7207" w14:paraId="6D8DB308" w14:textId="77777777" w:rsidTr="004E6DAB">
        <w:tc>
          <w:tcPr>
            <w:tcW w:w="3070" w:type="dxa"/>
            <w:shd w:val="clear" w:color="auto" w:fill="auto"/>
          </w:tcPr>
          <w:p w14:paraId="7758E8D9" w14:textId="60E1FCE6" w:rsidR="000F7207" w:rsidRDefault="00A16B1A" w:rsidP="00B320DF">
            <w:pPr>
              <w:pStyle w:val="Textkrper-Aufzhlung"/>
              <w:numPr>
                <w:ilvl w:val="0"/>
                <w:numId w:val="0"/>
              </w:numPr>
              <w:jc w:val="center"/>
            </w:pPr>
            <w:r w:rsidRPr="00D66F67">
              <w:rPr>
                <w:noProof/>
              </w:rPr>
              <w:drawing>
                <wp:inline distT="0" distB="0" distL="0" distR="0" wp14:anchorId="678EFF20" wp14:editId="49CC2DBF">
                  <wp:extent cx="1190625" cy="1656080"/>
                  <wp:effectExtent l="0" t="0" r="0" b="0"/>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656080"/>
                          </a:xfrm>
                          <a:prstGeom prst="rect">
                            <a:avLst/>
                          </a:prstGeom>
                          <a:noFill/>
                          <a:ln>
                            <a:noFill/>
                          </a:ln>
                        </pic:spPr>
                      </pic:pic>
                    </a:graphicData>
                  </a:graphic>
                </wp:inline>
              </w:drawing>
            </w:r>
          </w:p>
        </w:tc>
        <w:tc>
          <w:tcPr>
            <w:tcW w:w="3070" w:type="dxa"/>
            <w:shd w:val="clear" w:color="auto" w:fill="auto"/>
          </w:tcPr>
          <w:p w14:paraId="28E9D1AE" w14:textId="09389D9C" w:rsidR="000F7207" w:rsidRDefault="00A16B1A" w:rsidP="00B320DF">
            <w:pPr>
              <w:pStyle w:val="Textkrper-Aufzhlung"/>
              <w:numPr>
                <w:ilvl w:val="0"/>
                <w:numId w:val="0"/>
              </w:numPr>
              <w:jc w:val="center"/>
            </w:pPr>
            <w:r w:rsidRPr="00D66F67">
              <w:rPr>
                <w:noProof/>
              </w:rPr>
              <w:drawing>
                <wp:inline distT="0" distB="0" distL="0" distR="0" wp14:anchorId="73DE5101" wp14:editId="7B38FB41">
                  <wp:extent cx="1224915" cy="1638935"/>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4915" cy="1638935"/>
                          </a:xfrm>
                          <a:prstGeom prst="rect">
                            <a:avLst/>
                          </a:prstGeom>
                          <a:noFill/>
                          <a:ln>
                            <a:noFill/>
                          </a:ln>
                        </pic:spPr>
                      </pic:pic>
                    </a:graphicData>
                  </a:graphic>
                </wp:inline>
              </w:drawing>
            </w:r>
          </w:p>
        </w:tc>
        <w:tc>
          <w:tcPr>
            <w:tcW w:w="3070" w:type="dxa"/>
            <w:shd w:val="clear" w:color="auto" w:fill="auto"/>
          </w:tcPr>
          <w:p w14:paraId="2D1DDC00" w14:textId="2CFFE048" w:rsidR="000F7207" w:rsidRDefault="00A16B1A" w:rsidP="00B320DF">
            <w:pPr>
              <w:pStyle w:val="Textkrper-Aufzhlung"/>
              <w:numPr>
                <w:ilvl w:val="0"/>
                <w:numId w:val="0"/>
              </w:numPr>
              <w:jc w:val="center"/>
            </w:pPr>
            <w:r w:rsidRPr="00D66F67">
              <w:rPr>
                <w:noProof/>
              </w:rPr>
              <w:drawing>
                <wp:inline distT="0" distB="0" distL="0" distR="0" wp14:anchorId="32D68029" wp14:editId="2272E153">
                  <wp:extent cx="1216025" cy="1647825"/>
                  <wp:effectExtent l="0" t="0" r="0" b="0"/>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6025" cy="1647825"/>
                          </a:xfrm>
                          <a:prstGeom prst="rect">
                            <a:avLst/>
                          </a:prstGeom>
                          <a:noFill/>
                          <a:ln>
                            <a:noFill/>
                          </a:ln>
                        </pic:spPr>
                      </pic:pic>
                    </a:graphicData>
                  </a:graphic>
                </wp:inline>
              </w:drawing>
            </w:r>
          </w:p>
        </w:tc>
      </w:tr>
    </w:tbl>
    <w:p w14:paraId="701A1B3C" w14:textId="77777777" w:rsidR="000F7207" w:rsidRDefault="000F7207" w:rsidP="000F7207">
      <w:pPr>
        <w:pStyle w:val="Textkrper-Aufzhlung"/>
        <w:numPr>
          <w:ilvl w:val="0"/>
          <w:numId w:val="0"/>
        </w:numPr>
        <w:ind w:left="357" w:hanging="357"/>
      </w:pPr>
    </w:p>
    <w:tbl>
      <w:tblPr>
        <w:tblW w:w="0" w:type="auto"/>
        <w:tblInd w:w="357" w:type="dxa"/>
        <w:tblLook w:val="04A0" w:firstRow="1" w:lastRow="0" w:firstColumn="1" w:lastColumn="0" w:noHBand="0" w:noVBand="1"/>
      </w:tblPr>
      <w:tblGrid>
        <w:gridCol w:w="4349"/>
        <w:gridCol w:w="4364"/>
      </w:tblGrid>
      <w:tr w:rsidR="000F7207" w14:paraId="58A2745E" w14:textId="77777777" w:rsidTr="004E6DAB">
        <w:tc>
          <w:tcPr>
            <w:tcW w:w="4605" w:type="dxa"/>
            <w:shd w:val="clear" w:color="auto" w:fill="auto"/>
          </w:tcPr>
          <w:p w14:paraId="3493CB34" w14:textId="129E1CB0" w:rsidR="000F7207" w:rsidRDefault="00A16B1A" w:rsidP="00B320DF">
            <w:pPr>
              <w:pStyle w:val="Textkrper-Aufzhlung"/>
              <w:numPr>
                <w:ilvl w:val="0"/>
                <w:numId w:val="0"/>
              </w:numPr>
            </w:pPr>
            <w:r w:rsidRPr="00D66F67">
              <w:rPr>
                <w:noProof/>
              </w:rPr>
              <w:drawing>
                <wp:inline distT="0" distB="0" distL="0" distR="0" wp14:anchorId="69FF74D7" wp14:editId="318A7055">
                  <wp:extent cx="2070100" cy="1569720"/>
                  <wp:effectExtent l="0" t="0" r="0" b="0"/>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0" cy="1569720"/>
                          </a:xfrm>
                          <a:prstGeom prst="rect">
                            <a:avLst/>
                          </a:prstGeom>
                          <a:noFill/>
                          <a:ln>
                            <a:noFill/>
                          </a:ln>
                        </pic:spPr>
                      </pic:pic>
                    </a:graphicData>
                  </a:graphic>
                </wp:inline>
              </w:drawing>
            </w:r>
          </w:p>
        </w:tc>
        <w:tc>
          <w:tcPr>
            <w:tcW w:w="4605" w:type="dxa"/>
            <w:shd w:val="clear" w:color="auto" w:fill="auto"/>
          </w:tcPr>
          <w:p w14:paraId="24E74DDA" w14:textId="71F2D4E0" w:rsidR="000F7207" w:rsidRDefault="00A16B1A" w:rsidP="00B320DF">
            <w:pPr>
              <w:pStyle w:val="Textkrper-Aufzhlung"/>
              <w:numPr>
                <w:ilvl w:val="0"/>
                <w:numId w:val="0"/>
              </w:numPr>
            </w:pPr>
            <w:r w:rsidRPr="00D66F67">
              <w:rPr>
                <w:noProof/>
              </w:rPr>
              <w:drawing>
                <wp:inline distT="0" distB="0" distL="0" distR="0" wp14:anchorId="0832550B" wp14:editId="62C75A1A">
                  <wp:extent cx="2113280" cy="1578610"/>
                  <wp:effectExtent l="0" t="0" r="0" b="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3280" cy="1578610"/>
                          </a:xfrm>
                          <a:prstGeom prst="rect">
                            <a:avLst/>
                          </a:prstGeom>
                          <a:noFill/>
                          <a:ln>
                            <a:noFill/>
                          </a:ln>
                        </pic:spPr>
                      </pic:pic>
                    </a:graphicData>
                  </a:graphic>
                </wp:inline>
              </w:drawing>
            </w:r>
          </w:p>
        </w:tc>
      </w:tr>
    </w:tbl>
    <w:p w14:paraId="6B57219F" w14:textId="77777777" w:rsidR="000F7207" w:rsidRDefault="000F7207" w:rsidP="000F7207">
      <w:pPr>
        <w:pStyle w:val="Textkrper-Aufzhlung"/>
        <w:numPr>
          <w:ilvl w:val="0"/>
          <w:numId w:val="0"/>
        </w:numPr>
        <w:ind w:left="357" w:hanging="357"/>
      </w:pPr>
    </w:p>
    <w:p w14:paraId="08B1CB0C" w14:textId="77777777" w:rsidR="000F7207" w:rsidRDefault="000F7207" w:rsidP="000F7207">
      <w:pPr>
        <w:pStyle w:val="Textkrper-Aufzhlung"/>
        <w:numPr>
          <w:ilvl w:val="0"/>
          <w:numId w:val="0"/>
        </w:numPr>
        <w:ind w:left="357" w:hanging="357"/>
      </w:pPr>
    </w:p>
    <w:p w14:paraId="27C74F9F" w14:textId="77777777" w:rsidR="000F7207" w:rsidRDefault="000F7207" w:rsidP="000F7207">
      <w:pPr>
        <w:pStyle w:val="Textkrper-Aufzhlung"/>
        <w:numPr>
          <w:ilvl w:val="0"/>
          <w:numId w:val="0"/>
        </w:numPr>
        <w:ind w:left="357" w:hanging="357"/>
      </w:pPr>
    </w:p>
    <w:p w14:paraId="24464C72" w14:textId="77777777" w:rsidR="000F7207" w:rsidRDefault="000F7207" w:rsidP="000F7207">
      <w:pPr>
        <w:pStyle w:val="Textkrper-Aufzhlung"/>
        <w:numPr>
          <w:ilvl w:val="0"/>
          <w:numId w:val="0"/>
        </w:numPr>
        <w:ind w:left="357" w:hanging="357"/>
      </w:pPr>
    </w:p>
    <w:p w14:paraId="37EF8868" w14:textId="77777777" w:rsidR="00486378" w:rsidRPr="00486378" w:rsidRDefault="00736598" w:rsidP="00F4701C">
      <w:pPr>
        <w:pStyle w:val="b2"/>
        <w:rPr>
          <w:lang w:eastAsia="de-DE"/>
        </w:rPr>
      </w:pPr>
      <w:r>
        <w:rPr>
          <w:rFonts w:eastAsia="Times New Roman"/>
          <w:i/>
          <w:sz w:val="22"/>
          <w:szCs w:val="22"/>
          <w:lang w:eastAsia="de-DE"/>
        </w:rPr>
        <w:br w:type="page"/>
      </w:r>
      <w:bookmarkStart w:id="82" w:name="Überseeverpackung"/>
      <w:bookmarkStart w:id="83" w:name="_Toc179342328"/>
      <w:bookmarkStart w:id="84" w:name="_Toc188346311"/>
      <w:r w:rsidR="00486378" w:rsidRPr="00486378">
        <w:rPr>
          <w:lang w:eastAsia="de-DE"/>
        </w:rPr>
        <w:t xml:space="preserve">Behälter/Verpackungen </w:t>
      </w:r>
      <w:bookmarkStart w:id="85" w:name="Übersee"/>
      <w:r w:rsidR="00486378" w:rsidRPr="00486378">
        <w:rPr>
          <w:lang w:eastAsia="de-DE"/>
        </w:rPr>
        <w:t>Übersee</w:t>
      </w:r>
      <w:bookmarkEnd w:id="82"/>
      <w:bookmarkEnd w:id="83"/>
      <w:bookmarkEnd w:id="85"/>
      <w:bookmarkEnd w:id="84"/>
    </w:p>
    <w:p w14:paraId="7B50D332" w14:textId="77777777" w:rsidR="00486378" w:rsidRPr="00486378" w:rsidRDefault="00486378" w:rsidP="00736598">
      <w:pPr>
        <w:pStyle w:val="b3"/>
        <w:rPr>
          <w:lang w:eastAsia="de-DE"/>
        </w:rPr>
      </w:pPr>
      <w:bookmarkStart w:id="86" w:name="_Toc179342329"/>
      <w:r w:rsidRPr="00486378">
        <w:rPr>
          <w:lang w:eastAsia="de-DE"/>
        </w:rPr>
        <w:t>Behälter/Verpackungen USA/Mexico</w:t>
      </w:r>
      <w:bookmarkEnd w:id="86"/>
    </w:p>
    <w:tbl>
      <w:tblPr>
        <w:tblW w:w="0" w:type="auto"/>
        <w:tblLook w:val="04A0" w:firstRow="1" w:lastRow="0" w:firstColumn="1" w:lastColumn="0" w:noHBand="0" w:noVBand="1"/>
      </w:tblPr>
      <w:tblGrid>
        <w:gridCol w:w="6358"/>
        <w:gridCol w:w="2712"/>
      </w:tblGrid>
      <w:tr w:rsidR="00F4701C" w:rsidRPr="00B320DF" w14:paraId="480A2916" w14:textId="77777777" w:rsidTr="004E6DAB">
        <w:tc>
          <w:tcPr>
            <w:tcW w:w="6487" w:type="dxa"/>
            <w:shd w:val="clear" w:color="auto" w:fill="auto"/>
          </w:tcPr>
          <w:p w14:paraId="66C32810" w14:textId="77777777" w:rsidR="00F4701C" w:rsidRPr="00B320DF" w:rsidRDefault="00F4701C" w:rsidP="00F4701C">
            <w:pPr>
              <w:pStyle w:val="BodyText"/>
              <w:rPr>
                <w:b/>
                <w:lang w:eastAsia="de-DE"/>
              </w:rPr>
            </w:pPr>
            <w:r w:rsidRPr="00B320DF">
              <w:rPr>
                <w:b/>
                <w:lang w:eastAsia="de-DE"/>
              </w:rPr>
              <w:t>HKP-Ring 4731019</w:t>
            </w:r>
          </w:p>
          <w:p w14:paraId="67E4D43D" w14:textId="77777777" w:rsidR="00F4701C" w:rsidRPr="00486378" w:rsidRDefault="00935346" w:rsidP="00935346">
            <w:pPr>
              <w:pStyle w:val="BodyText"/>
              <w:tabs>
                <w:tab w:val="left" w:pos="2833"/>
              </w:tabs>
              <w:rPr>
                <w:lang w:eastAsia="de-DE"/>
              </w:rPr>
            </w:pPr>
            <w:r>
              <w:rPr>
                <w:lang w:eastAsia="de-DE"/>
              </w:rPr>
              <w:t>Abmessung:</w:t>
            </w:r>
            <w:r>
              <w:rPr>
                <w:lang w:eastAsia="de-DE"/>
              </w:rPr>
              <w:tab/>
            </w:r>
            <w:r w:rsidR="00F4701C" w:rsidRPr="00486378">
              <w:rPr>
                <w:lang w:eastAsia="de-DE"/>
              </w:rPr>
              <w:t>1220 x 810 x 490 mm</w:t>
            </w:r>
          </w:p>
          <w:p w14:paraId="50AF0D9D" w14:textId="77777777" w:rsidR="00F4701C" w:rsidRPr="00486378" w:rsidRDefault="00F4701C" w:rsidP="00935346">
            <w:pPr>
              <w:pStyle w:val="BodyText"/>
              <w:tabs>
                <w:tab w:val="left" w:pos="2833"/>
              </w:tabs>
              <w:rPr>
                <w:lang w:eastAsia="de-DE"/>
              </w:rPr>
            </w:pPr>
            <w:r w:rsidRPr="00486378">
              <w:rPr>
                <w:lang w:eastAsia="de-DE"/>
              </w:rPr>
              <w:t>in Zoll:</w:t>
            </w:r>
            <w:r w:rsidRPr="00486378">
              <w:rPr>
                <w:lang w:eastAsia="de-DE"/>
              </w:rPr>
              <w:tab/>
              <w:t>47.5 x 31.5 x 19“</w:t>
            </w:r>
          </w:p>
          <w:p w14:paraId="66AA17A0" w14:textId="77777777" w:rsidR="00F4701C" w:rsidRPr="00486378" w:rsidRDefault="00935346" w:rsidP="00935346">
            <w:pPr>
              <w:pStyle w:val="BodyText"/>
              <w:tabs>
                <w:tab w:val="left" w:pos="2833"/>
              </w:tabs>
              <w:rPr>
                <w:lang w:eastAsia="de-DE"/>
              </w:rPr>
            </w:pPr>
            <w:r>
              <w:rPr>
                <w:lang w:eastAsia="de-DE"/>
              </w:rPr>
              <w:t>Material:</w:t>
            </w:r>
            <w:r>
              <w:rPr>
                <w:lang w:eastAsia="de-DE"/>
              </w:rPr>
              <w:tab/>
            </w:r>
            <w:r w:rsidR="00F4701C" w:rsidRPr="00486378">
              <w:rPr>
                <w:lang w:eastAsia="de-DE"/>
              </w:rPr>
              <w:t>8mm Polypropylen</w:t>
            </w:r>
          </w:p>
          <w:p w14:paraId="26593BEE" w14:textId="77777777" w:rsidR="00F4701C" w:rsidRPr="00486378" w:rsidRDefault="00F4701C" w:rsidP="00935346">
            <w:pPr>
              <w:pStyle w:val="BodyText"/>
              <w:tabs>
                <w:tab w:val="left" w:pos="2833"/>
              </w:tabs>
              <w:rPr>
                <w:lang w:eastAsia="de-DE"/>
              </w:rPr>
            </w:pPr>
            <w:r w:rsidRPr="00486378">
              <w:rPr>
                <w:lang w:eastAsia="de-DE"/>
              </w:rPr>
              <w:t>Farbe:</w:t>
            </w:r>
            <w:r w:rsidRPr="00486378">
              <w:rPr>
                <w:lang w:eastAsia="de-DE"/>
              </w:rPr>
              <w:tab/>
              <w:t>blau mit weißem Grammer</w:t>
            </w:r>
            <w:r w:rsidR="00935346">
              <w:rPr>
                <w:lang w:eastAsia="de-DE"/>
              </w:rPr>
              <w:t xml:space="preserve"> </w:t>
            </w:r>
            <w:r w:rsidRPr="00486378">
              <w:rPr>
                <w:lang w:eastAsia="de-DE"/>
              </w:rPr>
              <w:t>Logo</w:t>
            </w:r>
          </w:p>
          <w:p w14:paraId="485CD507" w14:textId="77777777" w:rsidR="00F4701C" w:rsidRPr="00486378" w:rsidRDefault="00935346" w:rsidP="00935346">
            <w:pPr>
              <w:pStyle w:val="BodyText"/>
              <w:tabs>
                <w:tab w:val="left" w:pos="2833"/>
              </w:tabs>
              <w:rPr>
                <w:lang w:eastAsia="de-DE"/>
              </w:rPr>
            </w:pPr>
            <w:r>
              <w:rPr>
                <w:lang w:eastAsia="de-DE"/>
              </w:rPr>
              <w:t>Verwendung:</w:t>
            </w:r>
            <w:r>
              <w:rPr>
                <w:lang w:eastAsia="de-DE"/>
              </w:rPr>
              <w:tab/>
            </w:r>
            <w:proofErr w:type="spellStart"/>
            <w:r w:rsidR="00F4701C" w:rsidRPr="00486378">
              <w:rPr>
                <w:lang w:eastAsia="de-DE"/>
              </w:rPr>
              <w:t>Queretaro</w:t>
            </w:r>
            <w:proofErr w:type="spellEnd"/>
            <w:r w:rsidR="00F4701C" w:rsidRPr="00486378">
              <w:rPr>
                <w:lang w:eastAsia="de-DE"/>
              </w:rPr>
              <w:t>, Lear, Grammer,</w:t>
            </w:r>
            <w:r>
              <w:rPr>
                <w:lang w:eastAsia="de-DE"/>
              </w:rPr>
              <w:t xml:space="preserve"> </w:t>
            </w:r>
            <w:r w:rsidR="00F4701C" w:rsidRPr="00486378">
              <w:rPr>
                <w:lang w:eastAsia="de-DE"/>
              </w:rPr>
              <w:t>Fehrer</w:t>
            </w:r>
          </w:p>
          <w:p w14:paraId="2C6556E5" w14:textId="77777777" w:rsidR="00F4701C" w:rsidRPr="00B320DF" w:rsidRDefault="00F4701C" w:rsidP="00F4701C">
            <w:pPr>
              <w:pStyle w:val="BodyText"/>
              <w:rPr>
                <w:b/>
                <w:lang w:eastAsia="de-DE"/>
              </w:rPr>
            </w:pPr>
          </w:p>
        </w:tc>
        <w:tc>
          <w:tcPr>
            <w:tcW w:w="2723" w:type="dxa"/>
            <w:shd w:val="clear" w:color="auto" w:fill="auto"/>
          </w:tcPr>
          <w:p w14:paraId="46C35181" w14:textId="6B849AA6" w:rsidR="00F4701C" w:rsidRPr="007D1FBB" w:rsidRDefault="00A16B1A" w:rsidP="00B320DF">
            <w:pPr>
              <w:pStyle w:val="BodyText"/>
            </w:pPr>
            <w:r w:rsidRPr="00D66F67">
              <w:rPr>
                <w:noProof/>
                <w:lang w:eastAsia="de-DE"/>
              </w:rPr>
              <w:drawing>
                <wp:inline distT="0" distB="0" distL="0" distR="0" wp14:anchorId="0DF540EB" wp14:editId="6B3BADBA">
                  <wp:extent cx="1423670" cy="1087120"/>
                  <wp:effectExtent l="0" t="0" r="0" b="0"/>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3670" cy="1087120"/>
                          </a:xfrm>
                          <a:prstGeom prst="rect">
                            <a:avLst/>
                          </a:prstGeom>
                          <a:noFill/>
                          <a:ln>
                            <a:noFill/>
                          </a:ln>
                        </pic:spPr>
                      </pic:pic>
                    </a:graphicData>
                  </a:graphic>
                </wp:inline>
              </w:drawing>
            </w:r>
          </w:p>
          <w:p w14:paraId="4E1A9230" w14:textId="77777777" w:rsidR="00F4701C" w:rsidRPr="007D1FBB" w:rsidRDefault="00F4701C" w:rsidP="00B320DF">
            <w:pPr>
              <w:pStyle w:val="BodyText"/>
            </w:pPr>
          </w:p>
          <w:p w14:paraId="6C670A7C" w14:textId="77777777" w:rsidR="00F4701C" w:rsidRPr="007D1FBB" w:rsidRDefault="00F4701C" w:rsidP="00B320DF">
            <w:pPr>
              <w:pStyle w:val="BodyText"/>
            </w:pPr>
          </w:p>
        </w:tc>
      </w:tr>
      <w:tr w:rsidR="00F4701C" w:rsidRPr="00B320DF" w14:paraId="7E75A74E" w14:textId="77777777" w:rsidTr="004E6DAB">
        <w:tc>
          <w:tcPr>
            <w:tcW w:w="6487" w:type="dxa"/>
            <w:shd w:val="clear" w:color="auto" w:fill="auto"/>
          </w:tcPr>
          <w:p w14:paraId="48D71C84" w14:textId="77777777" w:rsidR="00F4701C" w:rsidRPr="00B320DF" w:rsidRDefault="00F4701C" w:rsidP="00F4701C">
            <w:pPr>
              <w:pStyle w:val="BodyText"/>
              <w:rPr>
                <w:b/>
                <w:lang w:eastAsia="de-DE"/>
              </w:rPr>
            </w:pPr>
            <w:r w:rsidRPr="00B320DF">
              <w:rPr>
                <w:b/>
                <w:lang w:eastAsia="de-DE"/>
              </w:rPr>
              <w:t>HKP-Ring 4731040</w:t>
            </w:r>
          </w:p>
          <w:p w14:paraId="7F6DC087" w14:textId="77777777" w:rsidR="00F4701C" w:rsidRPr="00486378" w:rsidRDefault="00935346" w:rsidP="00935346">
            <w:pPr>
              <w:pStyle w:val="BodyText"/>
              <w:tabs>
                <w:tab w:val="left" w:pos="2849"/>
              </w:tabs>
              <w:rPr>
                <w:lang w:eastAsia="de-DE"/>
              </w:rPr>
            </w:pPr>
            <w:r>
              <w:rPr>
                <w:lang w:eastAsia="de-DE"/>
              </w:rPr>
              <w:t>Abmessung:</w:t>
            </w:r>
            <w:r>
              <w:rPr>
                <w:lang w:eastAsia="de-DE"/>
              </w:rPr>
              <w:tab/>
            </w:r>
            <w:r w:rsidR="00F4701C" w:rsidRPr="00486378">
              <w:rPr>
                <w:lang w:eastAsia="de-DE"/>
              </w:rPr>
              <w:t>1210 x 800 x 1070 mm</w:t>
            </w:r>
          </w:p>
          <w:p w14:paraId="307FED4F" w14:textId="77777777" w:rsidR="00F4701C" w:rsidRPr="00486378" w:rsidRDefault="00F4701C" w:rsidP="00935346">
            <w:pPr>
              <w:pStyle w:val="BodyText"/>
              <w:tabs>
                <w:tab w:val="left" w:pos="2849"/>
              </w:tabs>
              <w:rPr>
                <w:lang w:eastAsia="de-DE"/>
              </w:rPr>
            </w:pPr>
            <w:r w:rsidRPr="00486378">
              <w:rPr>
                <w:lang w:eastAsia="de-DE"/>
              </w:rPr>
              <w:t>in Zoll:</w:t>
            </w:r>
            <w:r w:rsidRPr="00486378">
              <w:rPr>
                <w:lang w:eastAsia="de-DE"/>
              </w:rPr>
              <w:tab/>
              <w:t>47 x 31 x 41.5“</w:t>
            </w:r>
          </w:p>
          <w:p w14:paraId="36BFC9B0" w14:textId="77777777" w:rsidR="00F4701C" w:rsidRPr="00486378" w:rsidRDefault="00935346" w:rsidP="00935346">
            <w:pPr>
              <w:pStyle w:val="BodyText"/>
              <w:tabs>
                <w:tab w:val="left" w:pos="2849"/>
              </w:tabs>
              <w:rPr>
                <w:lang w:eastAsia="de-DE"/>
              </w:rPr>
            </w:pPr>
            <w:r>
              <w:rPr>
                <w:lang w:eastAsia="de-DE"/>
              </w:rPr>
              <w:t>Material:</w:t>
            </w:r>
            <w:r>
              <w:rPr>
                <w:lang w:eastAsia="de-DE"/>
              </w:rPr>
              <w:tab/>
            </w:r>
            <w:r w:rsidR="00F4701C" w:rsidRPr="00486378">
              <w:rPr>
                <w:lang w:eastAsia="de-DE"/>
              </w:rPr>
              <w:t>8mm Polypropylen</w:t>
            </w:r>
          </w:p>
          <w:p w14:paraId="76A9448B" w14:textId="77777777" w:rsidR="00F4701C" w:rsidRPr="00486378" w:rsidRDefault="00F4701C" w:rsidP="00935346">
            <w:pPr>
              <w:pStyle w:val="BodyText"/>
              <w:tabs>
                <w:tab w:val="left" w:pos="2849"/>
              </w:tabs>
              <w:rPr>
                <w:lang w:eastAsia="de-DE"/>
              </w:rPr>
            </w:pPr>
            <w:r w:rsidRPr="00486378">
              <w:rPr>
                <w:lang w:eastAsia="de-DE"/>
              </w:rPr>
              <w:t>Farbe:</w:t>
            </w:r>
            <w:r w:rsidRPr="00486378">
              <w:rPr>
                <w:lang w:eastAsia="de-DE"/>
              </w:rPr>
              <w:tab/>
              <w:t>blau</w:t>
            </w:r>
          </w:p>
          <w:p w14:paraId="56B78001" w14:textId="77777777" w:rsidR="00F4701C" w:rsidRPr="00486378" w:rsidRDefault="00935346" w:rsidP="00935346">
            <w:pPr>
              <w:pStyle w:val="BodyText"/>
              <w:tabs>
                <w:tab w:val="left" w:pos="2849"/>
              </w:tabs>
              <w:rPr>
                <w:lang w:eastAsia="de-DE"/>
              </w:rPr>
            </w:pPr>
            <w:r>
              <w:rPr>
                <w:lang w:eastAsia="de-DE"/>
              </w:rPr>
              <w:t>Verwendung:</w:t>
            </w:r>
            <w:r>
              <w:rPr>
                <w:lang w:eastAsia="de-DE"/>
              </w:rPr>
              <w:tab/>
            </w:r>
            <w:r w:rsidR="00F4701C" w:rsidRPr="00486378">
              <w:rPr>
                <w:lang w:eastAsia="de-DE"/>
              </w:rPr>
              <w:t xml:space="preserve">Fehrer, </w:t>
            </w:r>
            <w:proofErr w:type="spellStart"/>
            <w:r w:rsidR="00F4701C" w:rsidRPr="00486378">
              <w:rPr>
                <w:lang w:eastAsia="de-DE"/>
              </w:rPr>
              <w:t>McKechnie</w:t>
            </w:r>
            <w:proofErr w:type="spellEnd"/>
          </w:p>
          <w:p w14:paraId="58B69BC6" w14:textId="77777777" w:rsidR="00F4701C" w:rsidRPr="00B320DF" w:rsidRDefault="00F4701C" w:rsidP="00F4701C">
            <w:pPr>
              <w:pStyle w:val="BodyText"/>
              <w:rPr>
                <w:b/>
                <w:lang w:eastAsia="de-DE"/>
              </w:rPr>
            </w:pPr>
          </w:p>
        </w:tc>
        <w:tc>
          <w:tcPr>
            <w:tcW w:w="2723" w:type="dxa"/>
            <w:shd w:val="clear" w:color="auto" w:fill="auto"/>
          </w:tcPr>
          <w:p w14:paraId="7082ECF8" w14:textId="3784D09F" w:rsidR="00F4701C" w:rsidRDefault="00A16B1A" w:rsidP="00B320DF">
            <w:pPr>
              <w:pStyle w:val="BodyText"/>
              <w:rPr>
                <w:noProof/>
                <w:lang w:eastAsia="de-DE"/>
              </w:rPr>
            </w:pPr>
            <w:r w:rsidRPr="00D66F67">
              <w:rPr>
                <w:noProof/>
                <w:lang w:eastAsia="de-DE"/>
              </w:rPr>
              <w:drawing>
                <wp:inline distT="0" distB="0" distL="0" distR="0" wp14:anchorId="14C83A83" wp14:editId="3B2FE584">
                  <wp:extent cx="1431925" cy="1078230"/>
                  <wp:effectExtent l="0" t="0" r="0" b="0"/>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1925" cy="1078230"/>
                          </a:xfrm>
                          <a:prstGeom prst="rect">
                            <a:avLst/>
                          </a:prstGeom>
                          <a:noFill/>
                          <a:ln>
                            <a:noFill/>
                          </a:ln>
                        </pic:spPr>
                      </pic:pic>
                    </a:graphicData>
                  </a:graphic>
                </wp:inline>
              </w:drawing>
            </w:r>
          </w:p>
          <w:p w14:paraId="69C9D177" w14:textId="77777777" w:rsidR="00F4701C" w:rsidRPr="00D66F67" w:rsidRDefault="00F4701C" w:rsidP="00B320DF">
            <w:pPr>
              <w:pStyle w:val="BodyText"/>
              <w:rPr>
                <w:noProof/>
                <w:lang w:eastAsia="de-DE"/>
              </w:rPr>
            </w:pPr>
          </w:p>
        </w:tc>
      </w:tr>
      <w:tr w:rsidR="00F4701C" w:rsidRPr="00B320DF" w14:paraId="78ADFA8E" w14:textId="77777777" w:rsidTr="004E6DAB">
        <w:tc>
          <w:tcPr>
            <w:tcW w:w="6487" w:type="dxa"/>
            <w:shd w:val="clear" w:color="auto" w:fill="auto"/>
          </w:tcPr>
          <w:p w14:paraId="02A05CD1" w14:textId="77777777" w:rsidR="00F4701C" w:rsidRPr="00B320DF" w:rsidRDefault="00F4701C" w:rsidP="00F4701C">
            <w:pPr>
              <w:pStyle w:val="BodyText"/>
              <w:rPr>
                <w:b/>
                <w:lang w:eastAsia="de-DE"/>
              </w:rPr>
            </w:pPr>
            <w:r w:rsidRPr="00B320DF">
              <w:rPr>
                <w:b/>
                <w:lang w:eastAsia="de-DE"/>
              </w:rPr>
              <w:t>Kleinladungsträger KLT 241514</w:t>
            </w:r>
          </w:p>
          <w:p w14:paraId="5D156C9B" w14:textId="77777777" w:rsidR="00F4701C" w:rsidRPr="00486378" w:rsidRDefault="00935346" w:rsidP="00935346">
            <w:pPr>
              <w:pStyle w:val="BodyText"/>
              <w:tabs>
                <w:tab w:val="left" w:pos="2802"/>
              </w:tabs>
              <w:rPr>
                <w:lang w:eastAsia="de-DE"/>
              </w:rPr>
            </w:pPr>
            <w:r>
              <w:rPr>
                <w:lang w:eastAsia="de-DE"/>
              </w:rPr>
              <w:t>Abmessung:</w:t>
            </w:r>
            <w:r>
              <w:rPr>
                <w:lang w:eastAsia="de-DE"/>
              </w:rPr>
              <w:tab/>
            </w:r>
            <w:r w:rsidR="00F4701C" w:rsidRPr="00486378">
              <w:rPr>
                <w:lang w:eastAsia="de-DE"/>
              </w:rPr>
              <w:t>620 x 390 x 360 mm</w:t>
            </w:r>
          </w:p>
          <w:p w14:paraId="19F4565F" w14:textId="77777777" w:rsidR="00F4701C" w:rsidRPr="00486378" w:rsidRDefault="00F4701C" w:rsidP="00935346">
            <w:pPr>
              <w:pStyle w:val="BodyText"/>
              <w:tabs>
                <w:tab w:val="left" w:pos="2802"/>
              </w:tabs>
              <w:rPr>
                <w:lang w:eastAsia="de-DE"/>
              </w:rPr>
            </w:pPr>
            <w:r w:rsidRPr="00486378">
              <w:rPr>
                <w:lang w:eastAsia="de-DE"/>
              </w:rPr>
              <w:t>in Zoll:</w:t>
            </w:r>
            <w:r w:rsidRPr="00486378">
              <w:rPr>
                <w:lang w:eastAsia="de-DE"/>
              </w:rPr>
              <w:tab/>
              <w:t>24 x 15 x 14“</w:t>
            </w:r>
          </w:p>
          <w:p w14:paraId="4DA23FBF" w14:textId="77777777" w:rsidR="00F4701C" w:rsidRPr="00486378" w:rsidRDefault="00935346" w:rsidP="00935346">
            <w:pPr>
              <w:pStyle w:val="BodyText"/>
              <w:tabs>
                <w:tab w:val="left" w:pos="2802"/>
              </w:tabs>
              <w:rPr>
                <w:lang w:eastAsia="de-DE"/>
              </w:rPr>
            </w:pPr>
            <w:r>
              <w:rPr>
                <w:lang w:eastAsia="de-DE"/>
              </w:rPr>
              <w:t>Material:</w:t>
            </w:r>
            <w:r>
              <w:rPr>
                <w:lang w:eastAsia="de-DE"/>
              </w:rPr>
              <w:tab/>
            </w:r>
            <w:r w:rsidR="00F4701C" w:rsidRPr="00486378">
              <w:rPr>
                <w:lang w:eastAsia="de-DE"/>
              </w:rPr>
              <w:t>Polyethylen</w:t>
            </w:r>
          </w:p>
          <w:p w14:paraId="647455EE" w14:textId="77777777" w:rsidR="00F4701C" w:rsidRPr="00486378" w:rsidRDefault="00F4701C" w:rsidP="00935346">
            <w:pPr>
              <w:pStyle w:val="BodyText"/>
              <w:tabs>
                <w:tab w:val="left" w:pos="2802"/>
              </w:tabs>
              <w:rPr>
                <w:lang w:eastAsia="de-DE"/>
              </w:rPr>
            </w:pPr>
            <w:r w:rsidRPr="00486378">
              <w:rPr>
                <w:lang w:eastAsia="de-DE"/>
              </w:rPr>
              <w:t>Farbe:</w:t>
            </w:r>
            <w:r w:rsidRPr="00486378">
              <w:rPr>
                <w:lang w:eastAsia="de-DE"/>
              </w:rPr>
              <w:tab/>
              <w:t>grau</w:t>
            </w:r>
          </w:p>
          <w:p w14:paraId="5E11799B" w14:textId="77777777" w:rsidR="00F4701C" w:rsidRPr="00486378" w:rsidRDefault="00935346" w:rsidP="00935346">
            <w:pPr>
              <w:pStyle w:val="BodyText"/>
              <w:tabs>
                <w:tab w:val="left" w:pos="2802"/>
              </w:tabs>
              <w:rPr>
                <w:lang w:eastAsia="de-DE"/>
              </w:rPr>
            </w:pPr>
            <w:r>
              <w:rPr>
                <w:lang w:eastAsia="de-DE"/>
              </w:rPr>
              <w:t>Verwendung:</w:t>
            </w:r>
            <w:r>
              <w:rPr>
                <w:lang w:eastAsia="de-DE"/>
              </w:rPr>
              <w:tab/>
            </w:r>
            <w:proofErr w:type="spellStart"/>
            <w:r w:rsidR="00F4701C" w:rsidRPr="00486378">
              <w:rPr>
                <w:lang w:eastAsia="de-DE"/>
              </w:rPr>
              <w:t>Tetla</w:t>
            </w:r>
            <w:proofErr w:type="spellEnd"/>
            <w:r w:rsidR="00F4701C" w:rsidRPr="00486378">
              <w:rPr>
                <w:lang w:eastAsia="de-DE"/>
              </w:rPr>
              <w:t>, Seeber</w:t>
            </w:r>
          </w:p>
          <w:p w14:paraId="5F730998" w14:textId="77777777" w:rsidR="00F4701C" w:rsidRPr="00B320DF" w:rsidRDefault="00F4701C" w:rsidP="00F4701C">
            <w:pPr>
              <w:pStyle w:val="BodyText"/>
              <w:rPr>
                <w:b/>
                <w:lang w:eastAsia="de-DE"/>
              </w:rPr>
            </w:pPr>
          </w:p>
        </w:tc>
        <w:tc>
          <w:tcPr>
            <w:tcW w:w="2723" w:type="dxa"/>
            <w:shd w:val="clear" w:color="auto" w:fill="auto"/>
          </w:tcPr>
          <w:p w14:paraId="5B4407B3" w14:textId="528201BE" w:rsidR="00F4701C" w:rsidRDefault="00A16B1A" w:rsidP="00B320DF">
            <w:pPr>
              <w:pStyle w:val="BodyText"/>
              <w:rPr>
                <w:noProof/>
                <w:lang w:eastAsia="de-DE"/>
              </w:rPr>
            </w:pPr>
            <w:r w:rsidRPr="00D66F67">
              <w:rPr>
                <w:noProof/>
                <w:lang w:eastAsia="de-DE"/>
              </w:rPr>
              <w:drawing>
                <wp:inline distT="0" distB="0" distL="0" distR="0" wp14:anchorId="60795D79" wp14:editId="3BB2B978">
                  <wp:extent cx="1431925" cy="1087120"/>
                  <wp:effectExtent l="0" t="0" r="0" b="0"/>
                  <wp:docPr id="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1925" cy="1087120"/>
                          </a:xfrm>
                          <a:prstGeom prst="rect">
                            <a:avLst/>
                          </a:prstGeom>
                          <a:noFill/>
                          <a:ln>
                            <a:noFill/>
                          </a:ln>
                        </pic:spPr>
                      </pic:pic>
                    </a:graphicData>
                  </a:graphic>
                </wp:inline>
              </w:drawing>
            </w:r>
          </w:p>
          <w:p w14:paraId="5BE8450D" w14:textId="77777777" w:rsidR="00F4701C" w:rsidRPr="00D66F67" w:rsidRDefault="00F4701C" w:rsidP="00B320DF">
            <w:pPr>
              <w:pStyle w:val="BodyText"/>
              <w:rPr>
                <w:noProof/>
                <w:lang w:eastAsia="de-DE"/>
              </w:rPr>
            </w:pPr>
          </w:p>
        </w:tc>
      </w:tr>
      <w:tr w:rsidR="00F4701C" w:rsidRPr="00B320DF" w14:paraId="3DBF598A" w14:textId="77777777" w:rsidTr="004E6DAB">
        <w:tc>
          <w:tcPr>
            <w:tcW w:w="6487" w:type="dxa"/>
            <w:shd w:val="clear" w:color="auto" w:fill="auto"/>
          </w:tcPr>
          <w:p w14:paraId="45721CEF" w14:textId="77777777" w:rsidR="00F4701C" w:rsidRPr="00B320DF" w:rsidRDefault="00F4701C" w:rsidP="00F4701C">
            <w:pPr>
              <w:pStyle w:val="BodyText"/>
              <w:rPr>
                <w:b/>
                <w:lang w:eastAsia="de-DE"/>
              </w:rPr>
            </w:pPr>
            <w:r w:rsidRPr="00B320DF">
              <w:rPr>
                <w:b/>
                <w:lang w:eastAsia="de-DE"/>
              </w:rPr>
              <w:t>Kleinladungsträger faltbar mit Deckel KLT 2415147</w:t>
            </w:r>
          </w:p>
          <w:p w14:paraId="45CCE6B3" w14:textId="77777777" w:rsidR="00F4701C" w:rsidRPr="00486378" w:rsidRDefault="00935346" w:rsidP="00935346">
            <w:pPr>
              <w:pStyle w:val="BodyText"/>
              <w:tabs>
                <w:tab w:val="left" w:pos="2865"/>
              </w:tabs>
              <w:rPr>
                <w:lang w:eastAsia="de-DE"/>
              </w:rPr>
            </w:pPr>
            <w:r>
              <w:rPr>
                <w:lang w:eastAsia="de-DE"/>
              </w:rPr>
              <w:t>Abmessung:</w:t>
            </w:r>
            <w:r>
              <w:rPr>
                <w:lang w:eastAsia="de-DE"/>
              </w:rPr>
              <w:tab/>
            </w:r>
            <w:r w:rsidR="00F4701C" w:rsidRPr="00486378">
              <w:rPr>
                <w:lang w:eastAsia="de-DE"/>
              </w:rPr>
              <w:t>620 x 390 x 380 mm</w:t>
            </w:r>
          </w:p>
          <w:p w14:paraId="60BB2DC1" w14:textId="77777777" w:rsidR="00F4701C" w:rsidRPr="00486378" w:rsidRDefault="00F4701C" w:rsidP="00935346">
            <w:pPr>
              <w:pStyle w:val="BodyText"/>
              <w:tabs>
                <w:tab w:val="left" w:pos="2865"/>
              </w:tabs>
              <w:rPr>
                <w:lang w:eastAsia="de-DE"/>
              </w:rPr>
            </w:pPr>
            <w:r w:rsidRPr="00486378">
              <w:rPr>
                <w:lang w:eastAsia="de-DE"/>
              </w:rPr>
              <w:t>in Zoll:</w:t>
            </w:r>
            <w:r w:rsidRPr="00486378">
              <w:rPr>
                <w:lang w:eastAsia="de-DE"/>
              </w:rPr>
              <w:tab/>
              <w:t>24 x 15 x 14.7“</w:t>
            </w:r>
          </w:p>
          <w:p w14:paraId="07D71EF5" w14:textId="77777777" w:rsidR="00F4701C" w:rsidRPr="00486378" w:rsidRDefault="00935346" w:rsidP="00935346">
            <w:pPr>
              <w:pStyle w:val="BodyText"/>
              <w:tabs>
                <w:tab w:val="left" w:pos="2865"/>
              </w:tabs>
              <w:rPr>
                <w:lang w:eastAsia="de-DE"/>
              </w:rPr>
            </w:pPr>
            <w:r>
              <w:rPr>
                <w:lang w:eastAsia="de-DE"/>
              </w:rPr>
              <w:t>Material:</w:t>
            </w:r>
            <w:r>
              <w:rPr>
                <w:lang w:eastAsia="de-DE"/>
              </w:rPr>
              <w:tab/>
            </w:r>
            <w:r w:rsidR="00F4701C" w:rsidRPr="00486378">
              <w:rPr>
                <w:lang w:eastAsia="de-DE"/>
              </w:rPr>
              <w:t>Polyethylen</w:t>
            </w:r>
          </w:p>
          <w:p w14:paraId="62CB4850" w14:textId="77777777" w:rsidR="00F4701C" w:rsidRPr="00486378" w:rsidRDefault="00F4701C" w:rsidP="00935346">
            <w:pPr>
              <w:pStyle w:val="BodyText"/>
              <w:tabs>
                <w:tab w:val="left" w:pos="2865"/>
              </w:tabs>
              <w:rPr>
                <w:lang w:eastAsia="de-DE"/>
              </w:rPr>
            </w:pPr>
            <w:r w:rsidRPr="00486378">
              <w:rPr>
                <w:lang w:eastAsia="de-DE"/>
              </w:rPr>
              <w:t>Farbe:</w:t>
            </w:r>
            <w:r w:rsidRPr="00486378">
              <w:rPr>
                <w:lang w:eastAsia="de-DE"/>
              </w:rPr>
              <w:tab/>
              <w:t>grau</w:t>
            </w:r>
          </w:p>
          <w:p w14:paraId="2BA1FE74" w14:textId="77777777" w:rsidR="00F4701C" w:rsidRPr="00B320DF" w:rsidRDefault="00935346" w:rsidP="00935346">
            <w:pPr>
              <w:pStyle w:val="BodyText"/>
              <w:tabs>
                <w:tab w:val="left" w:pos="2865"/>
              </w:tabs>
              <w:rPr>
                <w:highlight w:val="green"/>
                <w:lang w:eastAsia="de-DE"/>
              </w:rPr>
            </w:pPr>
            <w:r>
              <w:rPr>
                <w:lang w:eastAsia="de-DE"/>
              </w:rPr>
              <w:t>Verwendung:</w:t>
            </w:r>
            <w:r>
              <w:rPr>
                <w:lang w:eastAsia="de-DE"/>
              </w:rPr>
              <w:tab/>
            </w:r>
            <w:proofErr w:type="spellStart"/>
            <w:r w:rsidR="00F4701C" w:rsidRPr="00486378">
              <w:rPr>
                <w:lang w:eastAsia="de-DE"/>
              </w:rPr>
              <w:t>Tetla</w:t>
            </w:r>
            <w:proofErr w:type="spellEnd"/>
          </w:p>
          <w:p w14:paraId="00AB765F" w14:textId="77777777" w:rsidR="00F4701C" w:rsidRPr="00B320DF" w:rsidRDefault="00F4701C" w:rsidP="00F4701C">
            <w:pPr>
              <w:pStyle w:val="BodyText"/>
              <w:rPr>
                <w:b/>
                <w:lang w:eastAsia="de-DE"/>
              </w:rPr>
            </w:pPr>
          </w:p>
        </w:tc>
        <w:tc>
          <w:tcPr>
            <w:tcW w:w="2723" w:type="dxa"/>
            <w:shd w:val="clear" w:color="auto" w:fill="auto"/>
          </w:tcPr>
          <w:p w14:paraId="4CE8BFE7" w14:textId="60CCB725" w:rsidR="00F4701C" w:rsidRDefault="00A16B1A" w:rsidP="00B320DF">
            <w:pPr>
              <w:pStyle w:val="BodyText"/>
              <w:rPr>
                <w:noProof/>
                <w:lang w:eastAsia="de-DE"/>
              </w:rPr>
            </w:pPr>
            <w:r w:rsidRPr="00D66F67">
              <w:rPr>
                <w:noProof/>
                <w:lang w:eastAsia="de-DE"/>
              </w:rPr>
              <w:drawing>
                <wp:inline distT="0" distB="0" distL="0" distR="0" wp14:anchorId="2B03D967" wp14:editId="49C9E115">
                  <wp:extent cx="1397635" cy="1043940"/>
                  <wp:effectExtent l="0" t="0" r="0" b="0"/>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635" cy="1043940"/>
                          </a:xfrm>
                          <a:prstGeom prst="rect">
                            <a:avLst/>
                          </a:prstGeom>
                          <a:noFill/>
                          <a:ln>
                            <a:noFill/>
                          </a:ln>
                        </pic:spPr>
                      </pic:pic>
                    </a:graphicData>
                  </a:graphic>
                </wp:inline>
              </w:drawing>
            </w:r>
          </w:p>
          <w:p w14:paraId="1816CCE6" w14:textId="77777777" w:rsidR="00F4701C" w:rsidRPr="00D66F67" w:rsidRDefault="00F4701C" w:rsidP="00B320DF">
            <w:pPr>
              <w:pStyle w:val="BodyText"/>
              <w:rPr>
                <w:noProof/>
                <w:lang w:eastAsia="de-DE"/>
              </w:rPr>
            </w:pPr>
          </w:p>
        </w:tc>
      </w:tr>
      <w:tr w:rsidR="00F4701C" w:rsidRPr="00B320DF" w14:paraId="1B1B0D03" w14:textId="77777777" w:rsidTr="004E6DAB">
        <w:tc>
          <w:tcPr>
            <w:tcW w:w="6487" w:type="dxa"/>
            <w:shd w:val="clear" w:color="auto" w:fill="auto"/>
          </w:tcPr>
          <w:p w14:paraId="70DACFA2" w14:textId="77777777" w:rsidR="00F4701C" w:rsidRPr="00B320DF" w:rsidRDefault="00F4701C" w:rsidP="00F4701C">
            <w:pPr>
              <w:pStyle w:val="BodyText"/>
              <w:rPr>
                <w:b/>
                <w:lang w:eastAsia="de-DE"/>
              </w:rPr>
            </w:pPr>
            <w:r w:rsidRPr="00B320DF">
              <w:rPr>
                <w:b/>
                <w:lang w:eastAsia="de-DE"/>
              </w:rPr>
              <w:t>Kunststoffpalette/Deckel 3248007</w:t>
            </w:r>
          </w:p>
          <w:p w14:paraId="155C6527" w14:textId="77777777" w:rsidR="00F4701C" w:rsidRPr="00486378" w:rsidRDefault="00935346" w:rsidP="00935346">
            <w:pPr>
              <w:pStyle w:val="BodyText"/>
              <w:tabs>
                <w:tab w:val="left" w:pos="2818"/>
              </w:tabs>
              <w:rPr>
                <w:lang w:eastAsia="de-DE"/>
              </w:rPr>
            </w:pPr>
            <w:r>
              <w:rPr>
                <w:lang w:eastAsia="de-DE"/>
              </w:rPr>
              <w:t>Abmessung:</w:t>
            </w:r>
            <w:r>
              <w:rPr>
                <w:lang w:eastAsia="de-DE"/>
              </w:rPr>
              <w:tab/>
            </w:r>
            <w:r w:rsidR="00F4701C" w:rsidRPr="00486378">
              <w:rPr>
                <w:lang w:eastAsia="de-DE"/>
              </w:rPr>
              <w:t>820 x 1220 x 180 mm</w:t>
            </w:r>
          </w:p>
          <w:p w14:paraId="14A140D8" w14:textId="77777777" w:rsidR="00F4701C" w:rsidRPr="00486378" w:rsidRDefault="00F4701C" w:rsidP="00935346">
            <w:pPr>
              <w:pStyle w:val="BodyText"/>
              <w:tabs>
                <w:tab w:val="left" w:pos="2818"/>
              </w:tabs>
              <w:rPr>
                <w:lang w:eastAsia="de-DE"/>
              </w:rPr>
            </w:pPr>
            <w:r w:rsidRPr="00486378">
              <w:rPr>
                <w:lang w:eastAsia="de-DE"/>
              </w:rPr>
              <w:t>in Zoll:</w:t>
            </w:r>
            <w:r w:rsidRPr="00486378">
              <w:rPr>
                <w:lang w:eastAsia="de-DE"/>
              </w:rPr>
              <w:tab/>
              <w:t>32 x 48 x 7“</w:t>
            </w:r>
          </w:p>
          <w:p w14:paraId="09415060" w14:textId="77777777" w:rsidR="00F4701C" w:rsidRPr="00486378" w:rsidRDefault="00935346" w:rsidP="00935346">
            <w:pPr>
              <w:pStyle w:val="BodyText"/>
              <w:tabs>
                <w:tab w:val="left" w:pos="2818"/>
              </w:tabs>
              <w:rPr>
                <w:lang w:eastAsia="de-DE"/>
              </w:rPr>
            </w:pPr>
            <w:r>
              <w:rPr>
                <w:lang w:eastAsia="de-DE"/>
              </w:rPr>
              <w:t>Material:</w:t>
            </w:r>
            <w:r>
              <w:rPr>
                <w:lang w:eastAsia="de-DE"/>
              </w:rPr>
              <w:tab/>
            </w:r>
            <w:r w:rsidR="00F4701C" w:rsidRPr="00486378">
              <w:rPr>
                <w:lang w:eastAsia="de-DE"/>
              </w:rPr>
              <w:t>Polypropylen</w:t>
            </w:r>
          </w:p>
          <w:p w14:paraId="29B5254E" w14:textId="77777777" w:rsidR="00F4701C" w:rsidRPr="00486378" w:rsidRDefault="00F4701C" w:rsidP="00935346">
            <w:pPr>
              <w:pStyle w:val="BodyText"/>
              <w:tabs>
                <w:tab w:val="left" w:pos="2818"/>
              </w:tabs>
              <w:rPr>
                <w:lang w:eastAsia="de-DE"/>
              </w:rPr>
            </w:pPr>
            <w:r w:rsidRPr="00486378">
              <w:rPr>
                <w:lang w:eastAsia="de-DE"/>
              </w:rPr>
              <w:t>Farbe:</w:t>
            </w:r>
            <w:r w:rsidRPr="00486378">
              <w:rPr>
                <w:lang w:eastAsia="de-DE"/>
              </w:rPr>
              <w:tab/>
              <w:t>grau oder schwarz mit</w:t>
            </w:r>
            <w:r w:rsidR="00935346">
              <w:rPr>
                <w:lang w:eastAsia="de-DE"/>
              </w:rPr>
              <w:t xml:space="preserve"> </w:t>
            </w:r>
            <w:r w:rsidRPr="00486378">
              <w:rPr>
                <w:lang w:eastAsia="de-DE"/>
              </w:rPr>
              <w:t>blauem Streifen</w:t>
            </w:r>
          </w:p>
          <w:p w14:paraId="2564DE2E" w14:textId="77777777" w:rsidR="00F4701C" w:rsidRDefault="00935346" w:rsidP="00935346">
            <w:pPr>
              <w:pStyle w:val="BodyText"/>
              <w:tabs>
                <w:tab w:val="left" w:pos="2818"/>
              </w:tabs>
              <w:rPr>
                <w:lang w:eastAsia="de-DE"/>
              </w:rPr>
            </w:pPr>
            <w:r>
              <w:rPr>
                <w:lang w:eastAsia="de-DE"/>
              </w:rPr>
              <w:t>Verwendung:</w:t>
            </w:r>
            <w:r>
              <w:rPr>
                <w:lang w:eastAsia="de-DE"/>
              </w:rPr>
              <w:tab/>
            </w:r>
            <w:proofErr w:type="spellStart"/>
            <w:r w:rsidR="00F4701C" w:rsidRPr="00486378">
              <w:rPr>
                <w:lang w:eastAsia="de-DE"/>
              </w:rPr>
              <w:t>Mehrweg</w:t>
            </w:r>
            <w:proofErr w:type="spellEnd"/>
          </w:p>
          <w:p w14:paraId="29AC5112" w14:textId="77777777" w:rsidR="00F4701C" w:rsidRPr="00B320DF" w:rsidRDefault="00F4701C" w:rsidP="00F4701C">
            <w:pPr>
              <w:pStyle w:val="BodyText"/>
              <w:rPr>
                <w:b/>
                <w:lang w:eastAsia="de-DE"/>
              </w:rPr>
            </w:pPr>
          </w:p>
        </w:tc>
        <w:tc>
          <w:tcPr>
            <w:tcW w:w="2723" w:type="dxa"/>
            <w:shd w:val="clear" w:color="auto" w:fill="auto"/>
          </w:tcPr>
          <w:p w14:paraId="52AEE885" w14:textId="5B63AAAA" w:rsidR="00F4701C" w:rsidRPr="00D66F67" w:rsidRDefault="00A16B1A" w:rsidP="00B320DF">
            <w:pPr>
              <w:pStyle w:val="BodyText"/>
              <w:rPr>
                <w:noProof/>
                <w:lang w:eastAsia="de-DE"/>
              </w:rPr>
            </w:pPr>
            <w:r w:rsidRPr="00D66F67">
              <w:rPr>
                <w:noProof/>
                <w:lang w:eastAsia="de-DE"/>
              </w:rPr>
              <w:drawing>
                <wp:inline distT="0" distB="0" distL="0" distR="0" wp14:anchorId="4DB81437" wp14:editId="1FEAC91B">
                  <wp:extent cx="1431925" cy="991870"/>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1925" cy="991870"/>
                          </a:xfrm>
                          <a:prstGeom prst="rect">
                            <a:avLst/>
                          </a:prstGeom>
                          <a:noFill/>
                          <a:ln>
                            <a:noFill/>
                          </a:ln>
                        </pic:spPr>
                      </pic:pic>
                    </a:graphicData>
                  </a:graphic>
                </wp:inline>
              </w:drawing>
            </w:r>
          </w:p>
        </w:tc>
      </w:tr>
    </w:tbl>
    <w:p w14:paraId="77CEE5A2" w14:textId="77777777" w:rsidR="00F4701C" w:rsidRPr="00F4701C" w:rsidRDefault="00F4701C" w:rsidP="00736598">
      <w:pPr>
        <w:pStyle w:val="BodyText"/>
        <w:rPr>
          <w:lang w:eastAsia="de-DE"/>
        </w:rPr>
      </w:pPr>
    </w:p>
    <w:p w14:paraId="574C64DF" w14:textId="77777777" w:rsidR="00486378" w:rsidRPr="00486378" w:rsidRDefault="00486378" w:rsidP="00736598">
      <w:pPr>
        <w:pStyle w:val="BodyText"/>
        <w:rPr>
          <w:highlight w:val="green"/>
          <w:lang w:eastAsia="de-DE"/>
        </w:rPr>
      </w:pPr>
    </w:p>
    <w:p w14:paraId="28C6A3F1" w14:textId="77777777" w:rsidR="00486378" w:rsidRPr="00486378" w:rsidRDefault="00736598" w:rsidP="00F82492">
      <w:pPr>
        <w:pStyle w:val="b3"/>
        <w:rPr>
          <w:lang w:eastAsia="de-DE"/>
        </w:rPr>
      </w:pPr>
      <w:r>
        <w:rPr>
          <w:rFonts w:eastAsia="Times New Roman"/>
          <w:szCs w:val="22"/>
          <w:lang w:eastAsia="de-DE"/>
        </w:rPr>
        <w:br w:type="page"/>
      </w:r>
      <w:bookmarkStart w:id="87" w:name="_Toc179342330"/>
      <w:r w:rsidR="00486378" w:rsidRPr="00486378">
        <w:rPr>
          <w:lang w:eastAsia="de-DE"/>
        </w:rPr>
        <w:t>Behälter/Verpackungen China</w:t>
      </w:r>
      <w:bookmarkEnd w:id="87"/>
    </w:p>
    <w:tbl>
      <w:tblPr>
        <w:tblW w:w="0" w:type="auto"/>
        <w:tblLook w:val="04A0" w:firstRow="1" w:lastRow="0" w:firstColumn="1" w:lastColumn="0" w:noHBand="0" w:noVBand="1"/>
      </w:tblPr>
      <w:tblGrid>
        <w:gridCol w:w="6353"/>
        <w:gridCol w:w="2717"/>
      </w:tblGrid>
      <w:tr w:rsidR="00F82492" w:rsidRPr="00B320DF" w14:paraId="4367AF9B" w14:textId="77777777" w:rsidTr="004E6DAB">
        <w:tc>
          <w:tcPr>
            <w:tcW w:w="6487" w:type="dxa"/>
            <w:shd w:val="clear" w:color="auto" w:fill="auto"/>
          </w:tcPr>
          <w:p w14:paraId="678C21BA" w14:textId="77777777" w:rsidR="00F82492" w:rsidRPr="00B320DF" w:rsidRDefault="00F82492" w:rsidP="00F82492">
            <w:pPr>
              <w:pStyle w:val="BodyText"/>
              <w:rPr>
                <w:b/>
                <w:lang w:eastAsia="de-DE"/>
              </w:rPr>
            </w:pPr>
            <w:r w:rsidRPr="00B320DF">
              <w:rPr>
                <w:b/>
                <w:lang w:eastAsia="de-DE"/>
              </w:rPr>
              <w:t>Kleinladungsträger KLT, Farbe grau</w:t>
            </w:r>
          </w:p>
          <w:p w14:paraId="05F6B9DC" w14:textId="77777777" w:rsidR="00F82492" w:rsidRPr="00486378" w:rsidRDefault="00F82492" w:rsidP="00F82492">
            <w:pPr>
              <w:pStyle w:val="BodyText"/>
              <w:rPr>
                <w:lang w:eastAsia="de-DE"/>
              </w:rPr>
            </w:pPr>
            <w:r w:rsidRPr="00486378">
              <w:rPr>
                <w:lang w:eastAsia="de-DE"/>
              </w:rPr>
              <w:t>Außenmaß:</w:t>
            </w:r>
            <w:r w:rsidRPr="00486378">
              <w:rPr>
                <w:lang w:eastAsia="de-DE"/>
              </w:rPr>
              <w:tab/>
            </w:r>
            <w:r w:rsidRPr="00486378">
              <w:rPr>
                <w:lang w:eastAsia="de-DE"/>
              </w:rPr>
              <w:tab/>
            </w:r>
            <w:r w:rsidRPr="00486378">
              <w:rPr>
                <w:lang w:eastAsia="de-DE"/>
              </w:rPr>
              <w:tab/>
              <w:t>800 x 600 x 280 mm</w:t>
            </w:r>
          </w:p>
          <w:p w14:paraId="6544E5DE" w14:textId="77777777" w:rsidR="00F82492" w:rsidRPr="00486378" w:rsidRDefault="00F82492" w:rsidP="00F82492">
            <w:pPr>
              <w:pStyle w:val="BodyText"/>
              <w:rPr>
                <w:lang w:eastAsia="de-DE"/>
              </w:rPr>
            </w:pPr>
            <w:r w:rsidRPr="00486378">
              <w:rPr>
                <w:lang w:eastAsia="de-DE"/>
              </w:rPr>
              <w:t>Innenmaß:</w:t>
            </w:r>
            <w:r w:rsidRPr="00486378">
              <w:rPr>
                <w:lang w:eastAsia="de-DE"/>
              </w:rPr>
              <w:tab/>
            </w:r>
            <w:r w:rsidRPr="00486378">
              <w:rPr>
                <w:lang w:eastAsia="de-DE"/>
              </w:rPr>
              <w:tab/>
            </w:r>
            <w:r w:rsidRPr="00486378">
              <w:rPr>
                <w:lang w:eastAsia="de-DE"/>
              </w:rPr>
              <w:tab/>
              <w:t>754 x 554 x 265 mm</w:t>
            </w:r>
          </w:p>
          <w:p w14:paraId="1F33514A" w14:textId="77777777" w:rsidR="00F82492" w:rsidRPr="00486378" w:rsidRDefault="00F82492" w:rsidP="00F82492">
            <w:pPr>
              <w:pStyle w:val="BodyText"/>
              <w:rPr>
                <w:lang w:eastAsia="de-DE"/>
              </w:rPr>
            </w:pPr>
            <w:r w:rsidRPr="00486378">
              <w:rPr>
                <w:lang w:eastAsia="de-DE"/>
              </w:rPr>
              <w:t>Material:</w:t>
            </w:r>
            <w:r w:rsidRPr="00486378">
              <w:rPr>
                <w:lang w:eastAsia="de-DE"/>
              </w:rPr>
              <w:tab/>
            </w:r>
            <w:r w:rsidRPr="00486378">
              <w:rPr>
                <w:lang w:eastAsia="de-DE"/>
              </w:rPr>
              <w:tab/>
            </w:r>
            <w:r w:rsidRPr="00486378">
              <w:rPr>
                <w:lang w:eastAsia="de-DE"/>
              </w:rPr>
              <w:tab/>
              <w:t>Polypropylen</w:t>
            </w:r>
          </w:p>
          <w:p w14:paraId="0EC23CFB" w14:textId="77777777" w:rsidR="00F82492" w:rsidRPr="00B320DF" w:rsidRDefault="00F82492" w:rsidP="00F82492">
            <w:pPr>
              <w:pStyle w:val="BodyText"/>
              <w:rPr>
                <w:b/>
                <w:lang w:eastAsia="de-DE"/>
              </w:rPr>
            </w:pPr>
          </w:p>
        </w:tc>
        <w:tc>
          <w:tcPr>
            <w:tcW w:w="2723" w:type="dxa"/>
            <w:shd w:val="clear" w:color="auto" w:fill="auto"/>
          </w:tcPr>
          <w:p w14:paraId="4CAA2C65" w14:textId="24342024" w:rsidR="00F82492" w:rsidRDefault="00A16B1A" w:rsidP="00B320DF">
            <w:pPr>
              <w:pStyle w:val="BodyText"/>
              <w:rPr>
                <w:noProof/>
                <w:lang w:eastAsia="de-DE"/>
              </w:rPr>
            </w:pPr>
            <w:r w:rsidRPr="00D66F67">
              <w:rPr>
                <w:noProof/>
                <w:lang w:eastAsia="de-DE"/>
              </w:rPr>
              <w:drawing>
                <wp:inline distT="0" distB="0" distL="0" distR="0" wp14:anchorId="29EC6CFB" wp14:editId="5629FF4D">
                  <wp:extent cx="1440815" cy="1035050"/>
                  <wp:effectExtent l="0" t="0" r="0"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0815" cy="1035050"/>
                          </a:xfrm>
                          <a:prstGeom prst="rect">
                            <a:avLst/>
                          </a:prstGeom>
                          <a:noFill/>
                          <a:ln>
                            <a:noFill/>
                          </a:ln>
                        </pic:spPr>
                      </pic:pic>
                    </a:graphicData>
                  </a:graphic>
                </wp:inline>
              </w:drawing>
            </w:r>
          </w:p>
          <w:p w14:paraId="3775F5E9" w14:textId="77777777" w:rsidR="00F82492" w:rsidRPr="00D66F67" w:rsidRDefault="00F82492" w:rsidP="00B320DF">
            <w:pPr>
              <w:pStyle w:val="BodyText"/>
              <w:rPr>
                <w:noProof/>
                <w:lang w:eastAsia="de-DE"/>
              </w:rPr>
            </w:pPr>
          </w:p>
        </w:tc>
      </w:tr>
      <w:tr w:rsidR="00F82492" w:rsidRPr="00B320DF" w14:paraId="0B7ABD5A" w14:textId="77777777" w:rsidTr="004E6DAB">
        <w:tc>
          <w:tcPr>
            <w:tcW w:w="6487" w:type="dxa"/>
            <w:shd w:val="clear" w:color="auto" w:fill="auto"/>
          </w:tcPr>
          <w:p w14:paraId="7BC89D7B" w14:textId="77777777" w:rsidR="00F82492" w:rsidRPr="00B320DF" w:rsidRDefault="00F82492" w:rsidP="00F82492">
            <w:pPr>
              <w:pStyle w:val="BodyText"/>
              <w:rPr>
                <w:b/>
                <w:lang w:eastAsia="de-DE"/>
              </w:rPr>
            </w:pPr>
            <w:r w:rsidRPr="00B320DF">
              <w:rPr>
                <w:b/>
                <w:lang w:eastAsia="de-DE"/>
              </w:rPr>
              <w:t>HKP-Behälter, Farbe blau</w:t>
            </w:r>
          </w:p>
          <w:p w14:paraId="5A4E5F29" w14:textId="77777777" w:rsidR="00F82492" w:rsidRPr="00486378" w:rsidRDefault="00F82492" w:rsidP="00F82492">
            <w:pPr>
              <w:pStyle w:val="BodyText"/>
              <w:rPr>
                <w:lang w:eastAsia="de-DE"/>
              </w:rPr>
            </w:pPr>
            <w:r w:rsidRPr="00486378">
              <w:rPr>
                <w:lang w:eastAsia="de-DE"/>
              </w:rPr>
              <w:t>Außenmaß:</w:t>
            </w:r>
            <w:r w:rsidRPr="00486378">
              <w:rPr>
                <w:lang w:eastAsia="de-DE"/>
              </w:rPr>
              <w:tab/>
            </w:r>
            <w:r w:rsidRPr="00486378">
              <w:rPr>
                <w:lang w:eastAsia="de-DE"/>
              </w:rPr>
              <w:tab/>
            </w:r>
            <w:r w:rsidRPr="00486378">
              <w:rPr>
                <w:lang w:eastAsia="de-DE"/>
              </w:rPr>
              <w:tab/>
              <w:t>800 x 600 x 320 mm</w:t>
            </w:r>
          </w:p>
          <w:p w14:paraId="0BA57BE5" w14:textId="77777777" w:rsidR="00F82492" w:rsidRPr="00486378" w:rsidRDefault="00F82492" w:rsidP="00F82492">
            <w:pPr>
              <w:pStyle w:val="BodyText"/>
              <w:rPr>
                <w:lang w:eastAsia="de-DE"/>
              </w:rPr>
            </w:pPr>
            <w:r w:rsidRPr="00486378">
              <w:rPr>
                <w:lang w:eastAsia="de-DE"/>
              </w:rPr>
              <w:t>Innenmaß:</w:t>
            </w:r>
            <w:r w:rsidRPr="00486378">
              <w:rPr>
                <w:lang w:eastAsia="de-DE"/>
              </w:rPr>
              <w:tab/>
            </w:r>
            <w:r w:rsidRPr="00486378">
              <w:rPr>
                <w:lang w:eastAsia="de-DE"/>
              </w:rPr>
              <w:tab/>
            </w:r>
            <w:r w:rsidRPr="00486378">
              <w:rPr>
                <w:lang w:eastAsia="de-DE"/>
              </w:rPr>
              <w:tab/>
              <w:t>754 x 554 x 286 mm</w:t>
            </w:r>
          </w:p>
          <w:p w14:paraId="668EA50E" w14:textId="77777777" w:rsidR="00F82492" w:rsidRPr="00486378" w:rsidRDefault="00F82492" w:rsidP="00F82492">
            <w:pPr>
              <w:pStyle w:val="BodyText"/>
              <w:rPr>
                <w:lang w:eastAsia="de-DE"/>
              </w:rPr>
            </w:pPr>
            <w:r w:rsidRPr="00486378">
              <w:rPr>
                <w:lang w:eastAsia="de-DE"/>
              </w:rPr>
              <w:t>Material:</w:t>
            </w:r>
            <w:r w:rsidRPr="00486378">
              <w:rPr>
                <w:lang w:eastAsia="de-DE"/>
              </w:rPr>
              <w:tab/>
            </w:r>
            <w:r w:rsidRPr="00486378">
              <w:rPr>
                <w:lang w:eastAsia="de-DE"/>
              </w:rPr>
              <w:tab/>
            </w:r>
            <w:r w:rsidRPr="00486378">
              <w:rPr>
                <w:lang w:eastAsia="de-DE"/>
              </w:rPr>
              <w:tab/>
              <w:t>Polypropylen</w:t>
            </w:r>
          </w:p>
          <w:p w14:paraId="095EF204" w14:textId="77777777" w:rsidR="00F82492" w:rsidRPr="00B320DF" w:rsidRDefault="00F82492" w:rsidP="00F82492">
            <w:pPr>
              <w:pStyle w:val="BodyText"/>
              <w:rPr>
                <w:b/>
                <w:lang w:eastAsia="de-DE"/>
              </w:rPr>
            </w:pPr>
          </w:p>
        </w:tc>
        <w:tc>
          <w:tcPr>
            <w:tcW w:w="2723" w:type="dxa"/>
            <w:shd w:val="clear" w:color="auto" w:fill="auto"/>
          </w:tcPr>
          <w:p w14:paraId="1A773475" w14:textId="01BBC620" w:rsidR="00F82492" w:rsidRDefault="00A16B1A" w:rsidP="00B320DF">
            <w:pPr>
              <w:pStyle w:val="BodyText"/>
              <w:rPr>
                <w:noProof/>
                <w:lang w:eastAsia="de-DE"/>
              </w:rPr>
            </w:pPr>
            <w:r w:rsidRPr="00D66F67">
              <w:rPr>
                <w:noProof/>
                <w:lang w:eastAsia="de-DE"/>
              </w:rPr>
              <w:drawing>
                <wp:inline distT="0" distB="0" distL="0" distR="0" wp14:anchorId="6E1D9B58" wp14:editId="46994A14">
                  <wp:extent cx="1423670" cy="1087120"/>
                  <wp:effectExtent l="0" t="0" r="0" b="0"/>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3670" cy="1087120"/>
                          </a:xfrm>
                          <a:prstGeom prst="rect">
                            <a:avLst/>
                          </a:prstGeom>
                          <a:noFill/>
                          <a:ln>
                            <a:noFill/>
                          </a:ln>
                        </pic:spPr>
                      </pic:pic>
                    </a:graphicData>
                  </a:graphic>
                </wp:inline>
              </w:drawing>
            </w:r>
          </w:p>
          <w:p w14:paraId="6A243E66" w14:textId="77777777" w:rsidR="00F82492" w:rsidRPr="00D66F67" w:rsidRDefault="00F82492" w:rsidP="00B320DF">
            <w:pPr>
              <w:pStyle w:val="BodyText"/>
              <w:rPr>
                <w:noProof/>
                <w:lang w:eastAsia="de-DE"/>
              </w:rPr>
            </w:pPr>
          </w:p>
        </w:tc>
      </w:tr>
      <w:tr w:rsidR="00F82492" w:rsidRPr="00B320DF" w14:paraId="60E9D9E1" w14:textId="77777777" w:rsidTr="004E6DAB">
        <w:tc>
          <w:tcPr>
            <w:tcW w:w="6487" w:type="dxa"/>
            <w:shd w:val="clear" w:color="auto" w:fill="auto"/>
          </w:tcPr>
          <w:p w14:paraId="7EBEE78E" w14:textId="77777777" w:rsidR="00F82492" w:rsidRPr="00B320DF" w:rsidRDefault="00F82492" w:rsidP="00F82492">
            <w:pPr>
              <w:pStyle w:val="BodyText"/>
              <w:rPr>
                <w:b/>
                <w:lang w:eastAsia="de-DE"/>
              </w:rPr>
            </w:pPr>
            <w:r w:rsidRPr="00B320DF">
              <w:rPr>
                <w:b/>
                <w:lang w:eastAsia="de-DE"/>
              </w:rPr>
              <w:t>Stahlcontainer für FAW/VW, Farbe blau</w:t>
            </w:r>
          </w:p>
          <w:p w14:paraId="7CC625D3" w14:textId="77777777" w:rsidR="00F82492" w:rsidRPr="00486378" w:rsidRDefault="00F82492" w:rsidP="00F82492">
            <w:pPr>
              <w:pStyle w:val="BodyText"/>
              <w:rPr>
                <w:lang w:eastAsia="de-DE"/>
              </w:rPr>
            </w:pPr>
            <w:r w:rsidRPr="00486378">
              <w:rPr>
                <w:lang w:eastAsia="de-DE"/>
              </w:rPr>
              <w:t>Abmessung:</w:t>
            </w:r>
            <w:r w:rsidRPr="00486378">
              <w:rPr>
                <w:lang w:eastAsia="de-DE"/>
              </w:rPr>
              <w:tab/>
            </w:r>
            <w:r w:rsidRPr="00486378">
              <w:rPr>
                <w:lang w:eastAsia="de-DE"/>
              </w:rPr>
              <w:tab/>
            </w:r>
            <w:r w:rsidRPr="00486378">
              <w:rPr>
                <w:lang w:eastAsia="de-DE"/>
              </w:rPr>
              <w:tab/>
              <w:t>1380 x 1120 x 760 mm</w:t>
            </w:r>
          </w:p>
          <w:p w14:paraId="58A5F794" w14:textId="77777777" w:rsidR="00F82492" w:rsidRPr="00486378" w:rsidRDefault="00F82492" w:rsidP="00F82492">
            <w:pPr>
              <w:pStyle w:val="BodyText"/>
              <w:rPr>
                <w:lang w:eastAsia="de-DE"/>
              </w:rPr>
            </w:pPr>
            <w:r w:rsidRPr="00486378">
              <w:rPr>
                <w:lang w:eastAsia="de-DE"/>
              </w:rPr>
              <w:t>Material:</w:t>
            </w:r>
            <w:r w:rsidRPr="00486378">
              <w:rPr>
                <w:lang w:eastAsia="de-DE"/>
              </w:rPr>
              <w:tab/>
            </w:r>
            <w:r w:rsidRPr="00486378">
              <w:rPr>
                <w:lang w:eastAsia="de-DE"/>
              </w:rPr>
              <w:tab/>
            </w:r>
            <w:r w:rsidRPr="00486378">
              <w:rPr>
                <w:lang w:eastAsia="de-DE"/>
              </w:rPr>
              <w:tab/>
              <w:t>Stahl</w:t>
            </w:r>
          </w:p>
          <w:p w14:paraId="7217C034" w14:textId="77777777" w:rsidR="00F82492" w:rsidRPr="00B320DF" w:rsidRDefault="00F82492" w:rsidP="00F82492">
            <w:pPr>
              <w:pStyle w:val="BodyText"/>
              <w:rPr>
                <w:b/>
                <w:lang w:eastAsia="de-DE"/>
              </w:rPr>
            </w:pPr>
          </w:p>
        </w:tc>
        <w:tc>
          <w:tcPr>
            <w:tcW w:w="2723" w:type="dxa"/>
            <w:shd w:val="clear" w:color="auto" w:fill="auto"/>
          </w:tcPr>
          <w:p w14:paraId="14358A1F" w14:textId="329AD454" w:rsidR="00F82492" w:rsidRDefault="00A16B1A" w:rsidP="00B320DF">
            <w:pPr>
              <w:pStyle w:val="BodyText"/>
              <w:rPr>
                <w:noProof/>
                <w:lang w:eastAsia="de-DE"/>
              </w:rPr>
            </w:pPr>
            <w:r w:rsidRPr="00D66F67">
              <w:rPr>
                <w:noProof/>
                <w:lang w:eastAsia="de-DE"/>
              </w:rPr>
              <w:drawing>
                <wp:inline distT="0" distB="0" distL="0" distR="0" wp14:anchorId="00DD67B9" wp14:editId="074664EF">
                  <wp:extent cx="1405890" cy="888365"/>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5890" cy="888365"/>
                          </a:xfrm>
                          <a:prstGeom prst="rect">
                            <a:avLst/>
                          </a:prstGeom>
                          <a:noFill/>
                          <a:ln>
                            <a:noFill/>
                          </a:ln>
                        </pic:spPr>
                      </pic:pic>
                    </a:graphicData>
                  </a:graphic>
                </wp:inline>
              </w:drawing>
            </w:r>
          </w:p>
          <w:p w14:paraId="65008B38" w14:textId="77777777" w:rsidR="00F82492" w:rsidRPr="00D66F67" w:rsidRDefault="00F82492" w:rsidP="00B320DF">
            <w:pPr>
              <w:pStyle w:val="BodyText"/>
              <w:rPr>
                <w:noProof/>
                <w:lang w:eastAsia="de-DE"/>
              </w:rPr>
            </w:pPr>
          </w:p>
        </w:tc>
      </w:tr>
      <w:tr w:rsidR="00F82492" w:rsidRPr="00B320DF" w14:paraId="01FD33A1" w14:textId="77777777" w:rsidTr="004E6DAB">
        <w:tc>
          <w:tcPr>
            <w:tcW w:w="6487" w:type="dxa"/>
            <w:shd w:val="clear" w:color="auto" w:fill="auto"/>
          </w:tcPr>
          <w:p w14:paraId="06587438" w14:textId="77777777" w:rsidR="000441D4" w:rsidRPr="00B320DF" w:rsidRDefault="000441D4" w:rsidP="000441D4">
            <w:pPr>
              <w:pStyle w:val="BodyText"/>
              <w:rPr>
                <w:b/>
                <w:lang w:eastAsia="de-DE"/>
              </w:rPr>
            </w:pPr>
            <w:r w:rsidRPr="00B320DF">
              <w:rPr>
                <w:b/>
                <w:lang w:eastAsia="de-DE"/>
              </w:rPr>
              <w:t>Kleinladungsträger KLT, Farbe blau</w:t>
            </w:r>
          </w:p>
          <w:p w14:paraId="0A6F35E7" w14:textId="77777777" w:rsidR="000441D4" w:rsidRPr="00486378" w:rsidRDefault="000441D4" w:rsidP="000441D4">
            <w:pPr>
              <w:pStyle w:val="BodyText"/>
              <w:rPr>
                <w:lang w:eastAsia="de-DE"/>
              </w:rPr>
            </w:pPr>
            <w:r w:rsidRPr="00486378">
              <w:rPr>
                <w:lang w:eastAsia="de-DE"/>
              </w:rPr>
              <w:t>Außenmaß:</w:t>
            </w:r>
            <w:r w:rsidRPr="00486378">
              <w:rPr>
                <w:lang w:eastAsia="de-DE"/>
              </w:rPr>
              <w:tab/>
            </w:r>
            <w:r w:rsidRPr="00486378">
              <w:rPr>
                <w:lang w:eastAsia="de-DE"/>
              </w:rPr>
              <w:tab/>
            </w:r>
            <w:r w:rsidRPr="00486378">
              <w:rPr>
                <w:lang w:eastAsia="de-DE"/>
              </w:rPr>
              <w:tab/>
              <w:t>600 x 400 x 280 mm</w:t>
            </w:r>
          </w:p>
          <w:p w14:paraId="6773A32D" w14:textId="77777777" w:rsidR="000441D4" w:rsidRPr="00486378" w:rsidRDefault="000441D4" w:rsidP="000441D4">
            <w:pPr>
              <w:pStyle w:val="BodyText"/>
              <w:rPr>
                <w:lang w:eastAsia="de-DE"/>
              </w:rPr>
            </w:pPr>
            <w:r w:rsidRPr="00486378">
              <w:rPr>
                <w:lang w:eastAsia="de-DE"/>
              </w:rPr>
              <w:t>Innenmaß:</w:t>
            </w:r>
            <w:r w:rsidRPr="00486378">
              <w:rPr>
                <w:lang w:eastAsia="de-DE"/>
              </w:rPr>
              <w:tab/>
            </w:r>
            <w:r w:rsidRPr="00486378">
              <w:rPr>
                <w:lang w:eastAsia="de-DE"/>
              </w:rPr>
              <w:tab/>
            </w:r>
            <w:r w:rsidRPr="00486378">
              <w:rPr>
                <w:lang w:eastAsia="de-DE"/>
              </w:rPr>
              <w:tab/>
              <w:t>541 x 360 x 261 mm</w:t>
            </w:r>
          </w:p>
          <w:p w14:paraId="5A47E165" w14:textId="77777777" w:rsidR="000441D4" w:rsidRPr="00486378" w:rsidRDefault="000441D4" w:rsidP="000441D4">
            <w:pPr>
              <w:pStyle w:val="BodyText"/>
              <w:rPr>
                <w:lang w:eastAsia="de-DE"/>
              </w:rPr>
            </w:pPr>
            <w:r w:rsidRPr="00486378">
              <w:rPr>
                <w:lang w:eastAsia="de-DE"/>
              </w:rPr>
              <w:t>Material:</w:t>
            </w:r>
            <w:r w:rsidRPr="00486378">
              <w:rPr>
                <w:lang w:eastAsia="de-DE"/>
              </w:rPr>
              <w:tab/>
            </w:r>
            <w:r w:rsidRPr="00486378">
              <w:rPr>
                <w:lang w:eastAsia="de-DE"/>
              </w:rPr>
              <w:tab/>
            </w:r>
            <w:r w:rsidRPr="00486378">
              <w:rPr>
                <w:lang w:eastAsia="de-DE"/>
              </w:rPr>
              <w:tab/>
              <w:t>Polypropylen</w:t>
            </w:r>
          </w:p>
          <w:p w14:paraId="129EB6B0" w14:textId="77777777" w:rsidR="00F82492" w:rsidRPr="00B320DF" w:rsidRDefault="00F82492" w:rsidP="00F82492">
            <w:pPr>
              <w:pStyle w:val="BodyText"/>
              <w:rPr>
                <w:b/>
                <w:lang w:eastAsia="de-DE"/>
              </w:rPr>
            </w:pPr>
          </w:p>
        </w:tc>
        <w:tc>
          <w:tcPr>
            <w:tcW w:w="2723" w:type="dxa"/>
            <w:shd w:val="clear" w:color="auto" w:fill="auto"/>
          </w:tcPr>
          <w:p w14:paraId="6DD32CFD" w14:textId="3D52C73A" w:rsidR="00F82492" w:rsidRDefault="00A16B1A" w:rsidP="00B320DF">
            <w:pPr>
              <w:pStyle w:val="BodyText"/>
              <w:rPr>
                <w:noProof/>
                <w:lang w:eastAsia="de-DE"/>
              </w:rPr>
            </w:pPr>
            <w:r w:rsidRPr="00D66F67">
              <w:rPr>
                <w:noProof/>
                <w:lang w:eastAsia="de-DE"/>
              </w:rPr>
              <w:drawing>
                <wp:inline distT="0" distB="0" distL="0" distR="0" wp14:anchorId="48E0D549" wp14:editId="1510B740">
                  <wp:extent cx="1423670" cy="1087120"/>
                  <wp:effectExtent l="0" t="0" r="0" b="0"/>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3670" cy="1087120"/>
                          </a:xfrm>
                          <a:prstGeom prst="rect">
                            <a:avLst/>
                          </a:prstGeom>
                          <a:noFill/>
                          <a:ln>
                            <a:noFill/>
                          </a:ln>
                        </pic:spPr>
                      </pic:pic>
                    </a:graphicData>
                  </a:graphic>
                </wp:inline>
              </w:drawing>
            </w:r>
          </w:p>
          <w:p w14:paraId="5971E8CF" w14:textId="77777777" w:rsidR="00F82492" w:rsidRPr="00D66F67" w:rsidRDefault="00F82492" w:rsidP="00B320DF">
            <w:pPr>
              <w:pStyle w:val="BodyText"/>
              <w:rPr>
                <w:noProof/>
                <w:lang w:eastAsia="de-DE"/>
              </w:rPr>
            </w:pPr>
          </w:p>
        </w:tc>
      </w:tr>
      <w:tr w:rsidR="00F82492" w:rsidRPr="00B320DF" w14:paraId="75E18A2E" w14:textId="77777777" w:rsidTr="004E6DAB">
        <w:tc>
          <w:tcPr>
            <w:tcW w:w="6487" w:type="dxa"/>
            <w:shd w:val="clear" w:color="auto" w:fill="auto"/>
          </w:tcPr>
          <w:p w14:paraId="69B26693" w14:textId="77777777" w:rsidR="000441D4" w:rsidRPr="00B320DF" w:rsidRDefault="000441D4" w:rsidP="000441D4">
            <w:pPr>
              <w:pStyle w:val="BodyText"/>
              <w:rPr>
                <w:b/>
                <w:lang w:eastAsia="de-DE"/>
              </w:rPr>
            </w:pPr>
            <w:r w:rsidRPr="00B320DF">
              <w:rPr>
                <w:b/>
                <w:lang w:eastAsia="de-DE"/>
              </w:rPr>
              <w:t>Kunststoffpalette, Farbe blau</w:t>
            </w:r>
          </w:p>
          <w:p w14:paraId="7C16135B" w14:textId="77777777" w:rsidR="000441D4" w:rsidRPr="00486378" w:rsidRDefault="000441D4" w:rsidP="000441D4">
            <w:pPr>
              <w:pStyle w:val="BodyText"/>
              <w:rPr>
                <w:lang w:eastAsia="de-DE"/>
              </w:rPr>
            </w:pPr>
            <w:r w:rsidRPr="00486378">
              <w:rPr>
                <w:lang w:eastAsia="de-DE"/>
              </w:rPr>
              <w:t>Abmessung:</w:t>
            </w:r>
            <w:r w:rsidRPr="00486378">
              <w:rPr>
                <w:lang w:eastAsia="de-DE"/>
              </w:rPr>
              <w:tab/>
            </w:r>
            <w:r w:rsidRPr="00486378">
              <w:rPr>
                <w:lang w:eastAsia="de-DE"/>
              </w:rPr>
              <w:tab/>
            </w:r>
            <w:r w:rsidRPr="00486378">
              <w:rPr>
                <w:lang w:eastAsia="de-DE"/>
              </w:rPr>
              <w:tab/>
              <w:t>1200 x 800 x 150 mm</w:t>
            </w:r>
          </w:p>
          <w:p w14:paraId="75F187DC" w14:textId="77777777" w:rsidR="000441D4" w:rsidRPr="00486378" w:rsidRDefault="000441D4" w:rsidP="000441D4">
            <w:pPr>
              <w:pStyle w:val="BodyText"/>
              <w:rPr>
                <w:lang w:eastAsia="de-DE"/>
              </w:rPr>
            </w:pPr>
            <w:r w:rsidRPr="00486378">
              <w:rPr>
                <w:lang w:eastAsia="de-DE"/>
              </w:rPr>
              <w:t>Material:</w:t>
            </w:r>
            <w:r w:rsidRPr="00486378">
              <w:rPr>
                <w:lang w:eastAsia="de-DE"/>
              </w:rPr>
              <w:tab/>
            </w:r>
            <w:r w:rsidRPr="00486378">
              <w:rPr>
                <w:lang w:eastAsia="de-DE"/>
              </w:rPr>
              <w:tab/>
            </w:r>
            <w:r w:rsidRPr="00486378">
              <w:rPr>
                <w:lang w:eastAsia="de-DE"/>
              </w:rPr>
              <w:tab/>
              <w:t>Polypropylen</w:t>
            </w:r>
          </w:p>
          <w:p w14:paraId="4DF60239" w14:textId="77777777" w:rsidR="00F82492" w:rsidRPr="00B320DF" w:rsidRDefault="00F82492" w:rsidP="00F82492">
            <w:pPr>
              <w:pStyle w:val="BodyText"/>
              <w:rPr>
                <w:b/>
                <w:lang w:eastAsia="de-DE"/>
              </w:rPr>
            </w:pPr>
          </w:p>
        </w:tc>
        <w:tc>
          <w:tcPr>
            <w:tcW w:w="2723" w:type="dxa"/>
            <w:shd w:val="clear" w:color="auto" w:fill="auto"/>
          </w:tcPr>
          <w:p w14:paraId="71C035EC" w14:textId="4ABB6070" w:rsidR="00F82492" w:rsidRPr="00D66F67" w:rsidRDefault="00A16B1A" w:rsidP="00B320DF">
            <w:pPr>
              <w:pStyle w:val="BodyText"/>
              <w:rPr>
                <w:noProof/>
                <w:lang w:eastAsia="de-DE"/>
              </w:rPr>
            </w:pPr>
            <w:r w:rsidRPr="00D66F67">
              <w:rPr>
                <w:noProof/>
                <w:lang w:eastAsia="de-DE"/>
              </w:rPr>
              <w:drawing>
                <wp:inline distT="0" distB="0" distL="0" distR="0" wp14:anchorId="74632A62" wp14:editId="13577855">
                  <wp:extent cx="1466215" cy="991870"/>
                  <wp:effectExtent l="0" t="0" r="0"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6215" cy="991870"/>
                          </a:xfrm>
                          <a:prstGeom prst="rect">
                            <a:avLst/>
                          </a:prstGeom>
                          <a:noFill/>
                          <a:ln>
                            <a:noFill/>
                          </a:ln>
                        </pic:spPr>
                      </pic:pic>
                    </a:graphicData>
                  </a:graphic>
                </wp:inline>
              </w:drawing>
            </w:r>
          </w:p>
        </w:tc>
      </w:tr>
    </w:tbl>
    <w:p w14:paraId="687EF2D5" w14:textId="77777777" w:rsidR="00F82492" w:rsidRDefault="00F82492" w:rsidP="00736598">
      <w:pPr>
        <w:pStyle w:val="BodyText"/>
        <w:rPr>
          <w:b/>
          <w:lang w:eastAsia="de-DE"/>
        </w:rPr>
      </w:pPr>
    </w:p>
    <w:p w14:paraId="6936B369" w14:textId="77777777" w:rsidR="000441D4" w:rsidRPr="00486378" w:rsidRDefault="000441D4" w:rsidP="00486378">
      <w:pPr>
        <w:jc w:val="both"/>
        <w:rPr>
          <w:rFonts w:eastAsia="Times New Roman"/>
          <w:sz w:val="22"/>
          <w:szCs w:val="22"/>
          <w:lang w:eastAsia="de-DE"/>
        </w:rPr>
      </w:pPr>
    </w:p>
    <w:p w14:paraId="728DC1C5" w14:textId="77777777" w:rsidR="00486378" w:rsidRPr="00486378" w:rsidRDefault="00074017" w:rsidP="007C5F47">
      <w:pPr>
        <w:pStyle w:val="b3"/>
        <w:rPr>
          <w:lang w:eastAsia="de-DE"/>
        </w:rPr>
      </w:pPr>
      <w:r>
        <w:rPr>
          <w:rFonts w:eastAsia="Times New Roman"/>
          <w:szCs w:val="22"/>
          <w:lang w:eastAsia="de-DE"/>
        </w:rPr>
        <w:br w:type="page"/>
      </w:r>
      <w:bookmarkStart w:id="88" w:name="_Toc179342331"/>
      <w:r w:rsidR="00486378" w:rsidRPr="00486378">
        <w:rPr>
          <w:lang w:eastAsia="de-DE"/>
        </w:rPr>
        <w:t>Behälter/Verpackungen bei Versand per Schiff /Flugzeug</w:t>
      </w:r>
      <w:bookmarkEnd w:id="88"/>
    </w:p>
    <w:p w14:paraId="434FA1B8" w14:textId="77777777" w:rsidR="00486378" w:rsidRPr="007C5F47" w:rsidRDefault="00486378" w:rsidP="00736598">
      <w:pPr>
        <w:pStyle w:val="BodyText"/>
        <w:rPr>
          <w:b/>
          <w:u w:val="single"/>
          <w:lang w:eastAsia="de-DE"/>
        </w:rPr>
      </w:pPr>
      <w:r w:rsidRPr="007C5F47">
        <w:rPr>
          <w:b/>
          <w:u w:val="single"/>
          <w:lang w:eastAsia="de-DE"/>
        </w:rPr>
        <w:t>Seeversand:</w:t>
      </w:r>
    </w:p>
    <w:p w14:paraId="60FBF31F" w14:textId="77777777" w:rsidR="00486378" w:rsidRDefault="00486378" w:rsidP="00736598">
      <w:pPr>
        <w:pStyle w:val="BodyText"/>
        <w:rPr>
          <w:lang w:eastAsia="de-DE"/>
        </w:rPr>
      </w:pPr>
      <w:r w:rsidRPr="00486378">
        <w:rPr>
          <w:lang w:eastAsia="de-DE"/>
        </w:rPr>
        <w:t>Beim Versand per Schiff werden im Regelfall 20“ und 40“ Container verwendet, die extremen Witterungs- und Kräfteeinflüssen ausgesetzt sind. Weiterhin weichen die Abmessung der Seecontainer von den Europäischen Normmaßen ab. Bei der Verpackungsauswahl ist deshalb auf entsprechende Qualität der Verpackung zu achten und die Abmessung der Versandeinheit auf die Containe</w:t>
      </w:r>
      <w:r w:rsidR="007C7C16">
        <w:rPr>
          <w:lang w:eastAsia="de-DE"/>
        </w:rPr>
        <w:t>rinnenmaße optimal abzustimmen.</w:t>
      </w:r>
    </w:p>
    <w:p w14:paraId="3CAADFF4" w14:textId="77777777" w:rsidR="007C5F47" w:rsidRPr="00486378" w:rsidRDefault="007C5F47" w:rsidP="00736598">
      <w:pPr>
        <w:pStyle w:val="BodyText"/>
        <w:rPr>
          <w:lang w:eastAsia="de-DE"/>
        </w:rPr>
      </w:pPr>
    </w:p>
    <w:p w14:paraId="025E5881" w14:textId="77777777" w:rsidR="00486378" w:rsidRPr="007C5F47" w:rsidRDefault="00486378" w:rsidP="00736598">
      <w:pPr>
        <w:pStyle w:val="BodyText"/>
        <w:rPr>
          <w:b/>
          <w:u w:val="single"/>
          <w:lang w:eastAsia="de-DE"/>
        </w:rPr>
      </w:pPr>
      <w:r w:rsidRPr="007C5F47">
        <w:rPr>
          <w:b/>
          <w:u w:val="single"/>
          <w:lang w:eastAsia="de-DE"/>
        </w:rPr>
        <w:t>Lufttransport:</w:t>
      </w:r>
    </w:p>
    <w:p w14:paraId="7875FD90" w14:textId="77777777" w:rsidR="00486378" w:rsidRPr="00486378" w:rsidRDefault="00486378" w:rsidP="00736598">
      <w:pPr>
        <w:pStyle w:val="BodyText"/>
        <w:rPr>
          <w:lang w:eastAsia="de-DE"/>
        </w:rPr>
      </w:pPr>
      <w:r w:rsidRPr="00486378">
        <w:rPr>
          <w:lang w:eastAsia="de-DE"/>
        </w:rPr>
        <w:t>Beispiel Übersee-Verpackung Einweg:</w:t>
      </w:r>
    </w:p>
    <w:p w14:paraId="618D8010" w14:textId="77777777" w:rsidR="00486378" w:rsidRPr="00486378" w:rsidRDefault="00486378" w:rsidP="00736598">
      <w:pPr>
        <w:pStyle w:val="BodyText"/>
        <w:rPr>
          <w:lang w:eastAsia="de-DE"/>
        </w:rPr>
      </w:pPr>
      <w:r w:rsidRPr="00486378">
        <w:rPr>
          <w:lang w:eastAsia="de-DE"/>
        </w:rPr>
        <w:t>nassfest verleimter Überseekarton, Innenmaß 1120 x 770 x 920 mm</w:t>
      </w:r>
    </w:p>
    <w:p w14:paraId="0C76D53C" w14:textId="77777777" w:rsidR="00486378" w:rsidRPr="00486378" w:rsidRDefault="00486378" w:rsidP="00736598">
      <w:pPr>
        <w:pStyle w:val="BodyText"/>
        <w:rPr>
          <w:lang w:eastAsia="de-DE"/>
        </w:rPr>
      </w:pPr>
      <w:r w:rsidRPr="00486378">
        <w:rPr>
          <w:lang w:eastAsia="de-DE"/>
        </w:rPr>
        <w:t>Holzpalette nach IPPC und ISPM 15 Standard, Abmessung 1140 x 760 x 135 mm</w:t>
      </w:r>
    </w:p>
    <w:p w14:paraId="45DF1618" w14:textId="77777777" w:rsidR="00486378" w:rsidRPr="00486378" w:rsidRDefault="00486378" w:rsidP="00736598">
      <w:pPr>
        <w:pStyle w:val="BodyText"/>
        <w:rPr>
          <w:lang w:eastAsia="de-DE"/>
        </w:rPr>
      </w:pPr>
      <w:r w:rsidRPr="00486378">
        <w:rPr>
          <w:lang w:eastAsia="de-DE"/>
        </w:rPr>
        <w:t xml:space="preserve">4-fach </w:t>
      </w:r>
      <w:proofErr w:type="gramStart"/>
      <w:r w:rsidRPr="00486378">
        <w:rPr>
          <w:lang w:eastAsia="de-DE"/>
        </w:rPr>
        <w:t>Umreifung !</w:t>
      </w:r>
      <w:proofErr w:type="gramEnd"/>
    </w:p>
    <w:p w14:paraId="1A5F7282" w14:textId="77777777" w:rsidR="00486378" w:rsidRPr="00486378" w:rsidRDefault="00486378" w:rsidP="00736598">
      <w:pPr>
        <w:pStyle w:val="BodyText"/>
        <w:rPr>
          <w:lang w:eastAsia="de-DE"/>
        </w:rPr>
      </w:pPr>
      <w:r w:rsidRPr="00486378">
        <w:rPr>
          <w:lang w:eastAsia="de-DE"/>
        </w:rPr>
        <w:t xml:space="preserve">Innenauskleidung mit </w:t>
      </w:r>
      <w:proofErr w:type="gramStart"/>
      <w:r w:rsidRPr="00486378">
        <w:rPr>
          <w:lang w:eastAsia="de-DE"/>
        </w:rPr>
        <w:t>Seitenfaltensack !</w:t>
      </w:r>
      <w:proofErr w:type="gramEnd"/>
    </w:p>
    <w:p w14:paraId="5AB8AC42" w14:textId="77777777" w:rsidR="00486378" w:rsidRDefault="00486378" w:rsidP="00736598">
      <w:pPr>
        <w:pStyle w:val="BodyText"/>
        <w:rPr>
          <w:lang w:eastAsia="de-DE"/>
        </w:rPr>
      </w:pPr>
    </w:p>
    <w:p w14:paraId="79B5414E" w14:textId="27BA6522" w:rsidR="00486378" w:rsidRPr="00486378" w:rsidRDefault="00A16B1A" w:rsidP="00486378">
      <w:pPr>
        <w:ind w:left="720"/>
        <w:jc w:val="both"/>
        <w:rPr>
          <w:rFonts w:eastAsia="Times New Roman"/>
          <w:sz w:val="22"/>
          <w:szCs w:val="22"/>
          <w:lang w:eastAsia="de-DE"/>
        </w:rPr>
      </w:pPr>
      <w:r>
        <w:rPr>
          <w:noProof/>
        </w:rPr>
        <w:drawing>
          <wp:inline distT="0" distB="0" distL="0" distR="0" wp14:anchorId="1B5DE73E" wp14:editId="34547933">
            <wp:extent cx="3691890" cy="1638935"/>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1890" cy="1638935"/>
                    </a:xfrm>
                    <a:prstGeom prst="rect">
                      <a:avLst/>
                    </a:prstGeom>
                    <a:noFill/>
                    <a:ln>
                      <a:noFill/>
                    </a:ln>
                  </pic:spPr>
                </pic:pic>
              </a:graphicData>
            </a:graphic>
          </wp:inline>
        </w:drawing>
      </w:r>
    </w:p>
    <w:p w14:paraId="39974BAA" w14:textId="77777777" w:rsidR="00486378" w:rsidRPr="00486378" w:rsidRDefault="00486378" w:rsidP="00486378">
      <w:pPr>
        <w:ind w:left="720"/>
        <w:jc w:val="both"/>
        <w:rPr>
          <w:rFonts w:eastAsia="Times New Roman"/>
          <w:sz w:val="22"/>
          <w:szCs w:val="22"/>
          <w:lang w:eastAsia="de-DE"/>
        </w:rPr>
      </w:pPr>
    </w:p>
    <w:p w14:paraId="7C3E9C2F" w14:textId="77777777" w:rsidR="00486378" w:rsidRPr="00486378" w:rsidRDefault="00486378" w:rsidP="007C7C16">
      <w:pPr>
        <w:pStyle w:val="BodyText"/>
        <w:rPr>
          <w:lang w:eastAsia="de-DE"/>
        </w:rPr>
      </w:pPr>
      <w:r w:rsidRPr="00486378">
        <w:rPr>
          <w:lang w:eastAsia="de-DE"/>
        </w:rPr>
        <w:t xml:space="preserve">Lieferanten bekommen die Bezugsquellen für Standardüberseeverpackungen von </w:t>
      </w:r>
      <w:r w:rsidR="00AC6BB7">
        <w:rPr>
          <w:lang w:eastAsia="de-DE"/>
        </w:rPr>
        <w:t>GRAMMER</w:t>
      </w:r>
      <w:r w:rsidRPr="00486378">
        <w:rPr>
          <w:lang w:eastAsia="de-DE"/>
        </w:rPr>
        <w:t>, sofern erwünscht, genannt.</w:t>
      </w:r>
    </w:p>
    <w:p w14:paraId="08FAB8B4" w14:textId="77777777" w:rsidR="00486378" w:rsidRPr="00486378" w:rsidRDefault="00486378" w:rsidP="007C7C16">
      <w:pPr>
        <w:pStyle w:val="BodyText"/>
        <w:rPr>
          <w:lang w:eastAsia="de-DE"/>
        </w:rPr>
      </w:pPr>
    </w:p>
    <w:p w14:paraId="158C8E29" w14:textId="77777777" w:rsidR="00486378" w:rsidRPr="00486378" w:rsidRDefault="00486378" w:rsidP="007C7C16">
      <w:pPr>
        <w:pStyle w:val="BodyText"/>
        <w:rPr>
          <w:lang w:eastAsia="de-DE"/>
        </w:rPr>
      </w:pPr>
      <w:r w:rsidRPr="00486378">
        <w:rPr>
          <w:lang w:eastAsia="de-DE"/>
        </w:rPr>
        <w:t>Für einige Länder (z.B. China, Mexiko, USA, Türkei) existieren besondere Vorschriften über die Einfuhr von Holzverpackungen (</w:t>
      </w:r>
      <w:proofErr w:type="gramStart"/>
      <w:r w:rsidRPr="00486378">
        <w:rPr>
          <w:lang w:eastAsia="de-DE"/>
        </w:rPr>
        <w:t>IPPC Standards</w:t>
      </w:r>
      <w:proofErr w:type="gramEnd"/>
      <w:r w:rsidRPr="00486378">
        <w:rPr>
          <w:lang w:eastAsia="de-DE"/>
        </w:rPr>
        <w:t xml:space="preserve"> nach ISPM 15). Für Sendungen an diese Orte dürfen deshalb nur speziell behandelte Hölzer verwendet werden. Die rechtlichen Grundlagen des Empfängerlandes sind vom Lieferanten zu beachten.</w:t>
      </w:r>
    </w:p>
    <w:p w14:paraId="4C367A49" w14:textId="77777777" w:rsidR="00486378" w:rsidRDefault="00486378" w:rsidP="007C7C16">
      <w:pPr>
        <w:pStyle w:val="BodyText"/>
        <w:rPr>
          <w:lang w:eastAsia="de-DE"/>
        </w:rPr>
      </w:pPr>
      <w:r w:rsidRPr="00486378">
        <w:rPr>
          <w:lang w:eastAsia="de-DE"/>
        </w:rPr>
        <w:t>Holzverpackungen wie Packkisten, Kästen, Verschläge, Trommeln, Paletten, etc. sind nur zulässig, wenn sie u.a. nachfolgende Bedingungen erfüllen:</w:t>
      </w:r>
    </w:p>
    <w:p w14:paraId="60FE0F9E" w14:textId="77777777" w:rsidR="00F1044D" w:rsidRPr="00486378" w:rsidRDefault="00F1044D" w:rsidP="007C7C16">
      <w:pPr>
        <w:pStyle w:val="BodyText"/>
        <w:rPr>
          <w:lang w:eastAsia="de-DE"/>
        </w:rPr>
      </w:pPr>
    </w:p>
    <w:p w14:paraId="0DAA1D15" w14:textId="77777777" w:rsidR="00486378" w:rsidRPr="007C5F47" w:rsidRDefault="00486378" w:rsidP="007C5F47">
      <w:pPr>
        <w:pStyle w:val="Textkrper-Aufzhlung"/>
      </w:pPr>
      <w:r w:rsidRPr="007C5F47">
        <w:t>frei von Rinde</w:t>
      </w:r>
    </w:p>
    <w:p w14:paraId="522A6BB2" w14:textId="77777777" w:rsidR="00486378" w:rsidRPr="007C5F47" w:rsidRDefault="00486378" w:rsidP="007C5F47">
      <w:pPr>
        <w:pStyle w:val="Textkrper-Aufzhlung"/>
      </w:pPr>
      <w:r w:rsidRPr="007C5F47">
        <w:t>Hitzebehandlung, Begasung mit Methylbromid</w:t>
      </w:r>
    </w:p>
    <w:p w14:paraId="407266ED" w14:textId="77777777" w:rsidR="00486378" w:rsidRPr="007C5F47" w:rsidRDefault="00486378" w:rsidP="007C5F47">
      <w:pPr>
        <w:pStyle w:val="Textkrper-Aufzhlung"/>
      </w:pPr>
      <w:r w:rsidRPr="007C5F47">
        <w:t xml:space="preserve">Vorlage eines amtlichen </w:t>
      </w:r>
      <w:r w:rsidR="004B4E75" w:rsidRPr="007C5F47">
        <w:t>Pflanzengesundheitszeugnisses</w:t>
      </w:r>
      <w:r w:rsidRPr="007C5F47">
        <w:t>, das auch als Nachweis für die Behandlung ausgestellt wurde.</w:t>
      </w:r>
    </w:p>
    <w:p w14:paraId="7FE37513" w14:textId="77777777" w:rsidR="00486378" w:rsidRPr="007C5F47" w:rsidRDefault="00486378" w:rsidP="007C5F47">
      <w:pPr>
        <w:pStyle w:val="Textkrper-Aufzhlung"/>
      </w:pPr>
      <w:r w:rsidRPr="007C5F47">
        <w:t xml:space="preserve">eine Markierung auf der </w:t>
      </w:r>
      <w:proofErr w:type="gramStart"/>
      <w:r w:rsidRPr="007C5F47">
        <w:t>Verpackung  mit</w:t>
      </w:r>
      <w:proofErr w:type="gramEnd"/>
      <w:r w:rsidRPr="007C5F47">
        <w:t xml:space="preserve"> Angaben zu „Behandlungsmethode“, „Behandlungsort“, „Kodierung behandelnden Betrieb“</w:t>
      </w:r>
    </w:p>
    <w:p w14:paraId="540F5815" w14:textId="77777777" w:rsidR="00486378" w:rsidRPr="007C5F47" w:rsidRDefault="00486378" w:rsidP="007C5F47">
      <w:pPr>
        <w:pStyle w:val="Textkrper-Aufzhlung"/>
      </w:pPr>
      <w:r w:rsidRPr="007C5F47">
        <w:t>eine Erklärung für Nichtholzverpackungen</w:t>
      </w:r>
    </w:p>
    <w:p w14:paraId="6BB2F2F8" w14:textId="77777777" w:rsidR="00486378" w:rsidRPr="007C5F47" w:rsidRDefault="00486378" w:rsidP="007C5F47">
      <w:pPr>
        <w:pStyle w:val="Textkrper-Aufzhlung"/>
      </w:pPr>
      <w:r w:rsidRPr="007C5F47">
        <w:t>Bei Holzverpackungen, die die genannten Vorschriften nicht erfüllen, werden die Kosten für Umpacken und / bzw. Behandlung dem Lieferanten in Rechnung gestellt.</w:t>
      </w:r>
    </w:p>
    <w:p w14:paraId="4B201006" w14:textId="1F4EF83F" w:rsidR="00486378" w:rsidRPr="007C5F47" w:rsidRDefault="00486378" w:rsidP="007C5F47">
      <w:pPr>
        <w:pStyle w:val="Textkrper-Aufzhlung"/>
      </w:pPr>
      <w:r w:rsidRPr="007C5F47">
        <w:t xml:space="preserve">Aktuelle Informationen zu </w:t>
      </w:r>
      <w:proofErr w:type="gramStart"/>
      <w:r w:rsidRPr="007C5F47">
        <w:t>IPPC Standards</w:t>
      </w:r>
      <w:proofErr w:type="gramEnd"/>
      <w:r w:rsidRPr="007C5F47">
        <w:t xml:space="preserve"> nach ISPM 15 sind im Internet unter</w:t>
      </w:r>
      <w:r w:rsidRPr="00486378">
        <w:rPr>
          <w:sz w:val="22"/>
          <w:szCs w:val="22"/>
        </w:rPr>
        <w:t xml:space="preserve"> </w:t>
      </w:r>
      <w:hyperlink r:id="rId32" w:history="1">
        <w:r w:rsidRPr="00486378">
          <w:rPr>
            <w:b/>
            <w:bCs/>
            <w:color w:val="0000FF"/>
            <w:sz w:val="22"/>
            <w:szCs w:val="22"/>
            <w:u w:val="single"/>
          </w:rPr>
          <w:t>www.bba.bund.de</w:t>
        </w:r>
      </w:hyperlink>
      <w:r w:rsidRPr="00486378">
        <w:rPr>
          <w:sz w:val="22"/>
          <w:szCs w:val="22"/>
        </w:rPr>
        <w:t xml:space="preserve"> </w:t>
      </w:r>
      <w:r w:rsidRPr="007C5F47">
        <w:t>zu finden.</w:t>
      </w:r>
    </w:p>
    <w:p w14:paraId="2813A0CE" w14:textId="77777777" w:rsidR="00486378" w:rsidRPr="00486378" w:rsidRDefault="00F1044D" w:rsidP="0067627D">
      <w:pPr>
        <w:pStyle w:val="b2"/>
        <w:rPr>
          <w:szCs w:val="22"/>
          <w:lang w:eastAsia="de-DE"/>
        </w:rPr>
      </w:pPr>
      <w:r>
        <w:rPr>
          <w:rFonts w:eastAsia="Times New Roman"/>
          <w:sz w:val="22"/>
          <w:szCs w:val="22"/>
          <w:lang w:eastAsia="de-DE"/>
        </w:rPr>
        <w:br w:type="page"/>
      </w:r>
      <w:bookmarkStart w:id="89" w:name="Verpackungsentwicklung"/>
      <w:bookmarkStart w:id="90" w:name="_Toc179342332"/>
      <w:bookmarkStart w:id="91" w:name="_Toc188346312"/>
      <w:r w:rsidR="00486378" w:rsidRPr="00486378">
        <w:rPr>
          <w:lang w:eastAsia="de-DE"/>
        </w:rPr>
        <w:t>Verpackungsent</w:t>
      </w:r>
      <w:bookmarkStart w:id="92" w:name="wicklung"/>
      <w:r w:rsidR="00486378" w:rsidRPr="00486378">
        <w:rPr>
          <w:lang w:eastAsia="de-DE"/>
        </w:rPr>
        <w:t>wicklung</w:t>
      </w:r>
      <w:bookmarkEnd w:id="89"/>
      <w:bookmarkEnd w:id="92"/>
      <w:r w:rsidR="00486378" w:rsidRPr="00486378">
        <w:rPr>
          <w:lang w:eastAsia="de-DE"/>
        </w:rPr>
        <w:t>/-festlegung</w:t>
      </w:r>
      <w:bookmarkEnd w:id="90"/>
      <w:bookmarkEnd w:id="91"/>
    </w:p>
    <w:p w14:paraId="140CC486" w14:textId="77777777" w:rsidR="00486378" w:rsidRPr="00486378" w:rsidRDefault="00486378" w:rsidP="00074017">
      <w:pPr>
        <w:pStyle w:val="BodyText"/>
        <w:rPr>
          <w:lang w:eastAsia="de-DE"/>
        </w:rPr>
      </w:pPr>
      <w:r w:rsidRPr="00486378">
        <w:rPr>
          <w:lang w:eastAsia="de-DE"/>
        </w:rPr>
        <w:t xml:space="preserve">Die Entwicklung und Definition der Innen- und Außenverpackung erfolgt durch den Lieferanten in Absprache mit GRAMMER-Logistikplanung in der Werkslogistik gemäß Qualitäts-, Technik- und Logistikanforderungen. Die Teile sind sortenrein zu verpacken, d.h. eine Teilenummer pro </w:t>
      </w:r>
      <w:r w:rsidR="004B4E75" w:rsidRPr="00486378">
        <w:rPr>
          <w:lang w:eastAsia="de-DE"/>
        </w:rPr>
        <w:t>definiertes</w:t>
      </w:r>
      <w:r w:rsidRPr="00486378">
        <w:rPr>
          <w:lang w:eastAsia="de-DE"/>
        </w:rPr>
        <w:t xml:space="preserve"> Transportmittel. Davon abweichende Vereinbarungen müssen zwischen dem Lieferanten und GRAMMER definiert werden (Set-Bildung, satzweise Verpackung, usw.).</w:t>
      </w:r>
    </w:p>
    <w:p w14:paraId="48DBF94F" w14:textId="77777777" w:rsidR="00486378" w:rsidRPr="00486378" w:rsidRDefault="00486378" w:rsidP="00074017">
      <w:pPr>
        <w:pStyle w:val="BodyText"/>
        <w:rPr>
          <w:lang w:eastAsia="de-DE"/>
        </w:rPr>
      </w:pPr>
    </w:p>
    <w:p w14:paraId="39F8211E" w14:textId="77777777" w:rsidR="00486378" w:rsidRPr="00486378" w:rsidRDefault="00486378" w:rsidP="00074017">
      <w:pPr>
        <w:pStyle w:val="BodyText"/>
        <w:rPr>
          <w:lang w:eastAsia="de-DE"/>
        </w:rPr>
      </w:pPr>
      <w:r w:rsidRPr="00486378">
        <w:rPr>
          <w:lang w:eastAsia="de-DE"/>
        </w:rPr>
        <w:t xml:space="preserve">Zur Erfüllung der genannten Anforderung ist es erforderlich, für jedes Produkt die Verpackung festzulegen. Die Festlegung erfolgt </w:t>
      </w:r>
      <w:proofErr w:type="gramStart"/>
      <w:r w:rsidRPr="00486378">
        <w:rPr>
          <w:lang w:eastAsia="de-DE"/>
        </w:rPr>
        <w:t>zwischen Lieferant</w:t>
      </w:r>
      <w:proofErr w:type="gramEnd"/>
      <w:r w:rsidRPr="00486378">
        <w:rPr>
          <w:lang w:eastAsia="de-DE"/>
        </w:rPr>
        <w:t xml:space="preserve"> und GRAMMER und wird im Verpackungsdatenblatt festgehalten. Hier werden ausgehend von der Produktgeometrie und dem Bedarf auch insbesondere logistische, qualitätsrelevante und materialflusstechnische Aspekte berücksichtigt.</w:t>
      </w:r>
    </w:p>
    <w:p w14:paraId="7F1B586E" w14:textId="77777777" w:rsidR="00486378" w:rsidRPr="00486378" w:rsidRDefault="00486378" w:rsidP="00074017">
      <w:pPr>
        <w:pStyle w:val="BodyText"/>
        <w:rPr>
          <w:lang w:eastAsia="de-DE"/>
        </w:rPr>
      </w:pPr>
    </w:p>
    <w:p w14:paraId="571C80AD" w14:textId="77777777" w:rsidR="00486378" w:rsidRPr="00486378" w:rsidRDefault="00486378" w:rsidP="00074017">
      <w:pPr>
        <w:pStyle w:val="BodyText"/>
        <w:rPr>
          <w:lang w:eastAsia="de-DE"/>
        </w:rPr>
      </w:pPr>
      <w:r w:rsidRPr="00486378">
        <w:rPr>
          <w:lang w:eastAsia="de-DE"/>
        </w:rPr>
        <w:t>Die Werkslogistikplanung GRAMMER ist Ansprechpartner für die Behältertechnik und deren Festlegung. Nach Vorstellung eines Musters bzw. einer erfolgreichen Durchführung eines Verpackungsversuches durch den Lieferanten wird in Abstimmung mit der Qualitätsplanung GRAMMER und des Lieferanten über die endgültige Verpackung entschieden. Diese wird in einem Verpackungsdatenblatt schriftlich fixiert (siehe Anlage).</w:t>
      </w:r>
    </w:p>
    <w:p w14:paraId="7B814B7B" w14:textId="77777777" w:rsidR="00486378" w:rsidRDefault="00486378" w:rsidP="00074017">
      <w:pPr>
        <w:pStyle w:val="BodyText"/>
        <w:rPr>
          <w:lang w:eastAsia="de-DE"/>
        </w:rPr>
      </w:pPr>
      <w:r w:rsidRPr="00486378">
        <w:rPr>
          <w:lang w:eastAsia="de-DE"/>
        </w:rPr>
        <w:t xml:space="preserve">Bei der Bereitstellung der Waren in Transportmitteln ist zu beachten, dass die Behälter mit dem definierten Behälterfüllgrad (lt. Verpackungsdatenblatt) und in Originalzustand angeliefert werden. Die Umlaufbestände der Verpackungen sind am Beginn der Lieferbeziehung </w:t>
      </w:r>
      <w:proofErr w:type="gramStart"/>
      <w:r w:rsidRPr="00486378">
        <w:rPr>
          <w:lang w:eastAsia="de-DE"/>
        </w:rPr>
        <w:t>zwischen  Logistik</w:t>
      </w:r>
      <w:proofErr w:type="gramEnd"/>
      <w:r w:rsidRPr="00486378">
        <w:rPr>
          <w:lang w:eastAsia="de-DE"/>
        </w:rPr>
        <w:t xml:space="preserve"> GRAMMER und Logistik-Lieferant zu definieren und festzulegen. Die Bedarfsrechnung je Lieferant wird auf Sachnummernbasis durchgeführt und berücksichtigt die von GRAMMER genannten Planzahlen, die Lieferfrequenz sowie die notwendigen Umlauftage.</w:t>
      </w:r>
    </w:p>
    <w:p w14:paraId="2A399756" w14:textId="77777777" w:rsidR="0067627D" w:rsidRDefault="0067627D" w:rsidP="00074017">
      <w:pPr>
        <w:pStyle w:val="BodyText"/>
        <w:rPr>
          <w:lang w:eastAsia="de-DE"/>
        </w:rPr>
      </w:pPr>
    </w:p>
    <w:p w14:paraId="7E6F7636" w14:textId="77777777" w:rsidR="0067627D" w:rsidRDefault="0067627D" w:rsidP="00074017">
      <w:pPr>
        <w:pStyle w:val="BodyText"/>
        <w:rPr>
          <w:lang w:eastAsia="de-DE"/>
        </w:rPr>
      </w:pPr>
    </w:p>
    <w:p w14:paraId="1516E9C2" w14:textId="77777777" w:rsidR="0067627D" w:rsidRPr="00486378" w:rsidRDefault="0067627D" w:rsidP="00074017">
      <w:pPr>
        <w:pStyle w:val="BodyText"/>
        <w:rPr>
          <w:lang w:eastAsia="de-DE"/>
        </w:rPr>
      </w:pPr>
    </w:p>
    <w:p w14:paraId="2B127FEF" w14:textId="77777777" w:rsidR="00486378" w:rsidRPr="00486378" w:rsidRDefault="00486378" w:rsidP="00074017">
      <w:pPr>
        <w:pStyle w:val="b2"/>
        <w:rPr>
          <w:lang w:eastAsia="de-DE"/>
        </w:rPr>
      </w:pPr>
      <w:bookmarkStart w:id="93" w:name="Behälterbeschaffung"/>
      <w:bookmarkStart w:id="94" w:name="_Toc179342333"/>
      <w:bookmarkStart w:id="95" w:name="_Toc188346313"/>
      <w:r w:rsidRPr="00486378">
        <w:rPr>
          <w:lang w:eastAsia="de-DE"/>
        </w:rPr>
        <w:t>Behälterbeschaffung</w:t>
      </w:r>
      <w:bookmarkEnd w:id="93"/>
      <w:bookmarkEnd w:id="94"/>
      <w:bookmarkEnd w:id="95"/>
    </w:p>
    <w:p w14:paraId="7FC2C019" w14:textId="77777777" w:rsidR="00486378" w:rsidRDefault="00486378" w:rsidP="00074017">
      <w:pPr>
        <w:pStyle w:val="BodyText"/>
        <w:rPr>
          <w:lang w:eastAsia="de-DE"/>
        </w:rPr>
      </w:pPr>
      <w:r w:rsidRPr="00486378">
        <w:rPr>
          <w:lang w:eastAsia="de-DE"/>
        </w:rPr>
        <w:t xml:space="preserve">Die Beschaffung der Ladungsträger wird </w:t>
      </w:r>
      <w:proofErr w:type="gramStart"/>
      <w:r w:rsidRPr="00486378">
        <w:rPr>
          <w:lang w:eastAsia="de-DE"/>
        </w:rPr>
        <w:t>durch  GRAMMER</w:t>
      </w:r>
      <w:proofErr w:type="gramEnd"/>
      <w:r w:rsidRPr="00486378">
        <w:rPr>
          <w:lang w:eastAsia="de-DE"/>
        </w:rPr>
        <w:t xml:space="preserve"> festgelegt und im Logistiklastenheft geregelt.</w:t>
      </w:r>
    </w:p>
    <w:p w14:paraId="6D507BD6" w14:textId="77777777" w:rsidR="0067627D" w:rsidRDefault="0067627D" w:rsidP="00074017">
      <w:pPr>
        <w:pStyle w:val="BodyText"/>
        <w:rPr>
          <w:lang w:eastAsia="de-DE"/>
        </w:rPr>
      </w:pPr>
    </w:p>
    <w:p w14:paraId="43ABAB37" w14:textId="77777777" w:rsidR="0067627D" w:rsidRPr="00486378" w:rsidRDefault="0067627D" w:rsidP="00074017">
      <w:pPr>
        <w:pStyle w:val="BodyText"/>
        <w:rPr>
          <w:lang w:eastAsia="de-DE"/>
        </w:rPr>
      </w:pPr>
    </w:p>
    <w:p w14:paraId="2BD43B2B" w14:textId="77777777" w:rsidR="00486378" w:rsidRPr="00486378" w:rsidRDefault="00486378" w:rsidP="00074017">
      <w:pPr>
        <w:pStyle w:val="BodyText"/>
        <w:rPr>
          <w:lang w:eastAsia="de-DE"/>
        </w:rPr>
      </w:pPr>
    </w:p>
    <w:p w14:paraId="07EEA077" w14:textId="77777777" w:rsidR="00486378" w:rsidRPr="00486378" w:rsidRDefault="00486378" w:rsidP="00074017">
      <w:pPr>
        <w:pStyle w:val="b2"/>
        <w:rPr>
          <w:lang w:eastAsia="de-DE"/>
        </w:rPr>
      </w:pPr>
      <w:bookmarkStart w:id="96" w:name="_Toc179342334"/>
      <w:bookmarkStart w:id="97" w:name="_Toc188346314"/>
      <w:r w:rsidRPr="00486378">
        <w:rPr>
          <w:lang w:eastAsia="de-DE"/>
        </w:rPr>
        <w:t>Verpackungsüberhänge</w:t>
      </w:r>
      <w:bookmarkEnd w:id="96"/>
      <w:bookmarkEnd w:id="97"/>
    </w:p>
    <w:p w14:paraId="688E9F6A" w14:textId="77777777" w:rsidR="00486378" w:rsidRDefault="00486378" w:rsidP="00074017">
      <w:pPr>
        <w:pStyle w:val="BodyText"/>
        <w:rPr>
          <w:lang w:eastAsia="de-DE"/>
        </w:rPr>
      </w:pPr>
      <w:r w:rsidRPr="00486378">
        <w:rPr>
          <w:lang w:eastAsia="de-DE"/>
        </w:rPr>
        <w:t xml:space="preserve">Laufen Projekte bzw. Lieferumfänge aus, ist der Lieferant verpflichtet, Überhänge an Verpackung, die Eigentum von </w:t>
      </w:r>
      <w:r w:rsidR="00AC6BB7">
        <w:rPr>
          <w:lang w:eastAsia="de-DE"/>
        </w:rPr>
        <w:t>GRAMMER</w:t>
      </w:r>
      <w:r w:rsidRPr="00486378">
        <w:rPr>
          <w:lang w:eastAsia="de-DE"/>
        </w:rPr>
        <w:t xml:space="preserve"> sind, bei der zuständigen Leergutdisposition und Verpackungsplanung des jeweiligen GRAMMER Werkes schriftlich anzumelden. </w:t>
      </w:r>
      <w:r w:rsidR="00AC6BB7">
        <w:rPr>
          <w:lang w:eastAsia="de-DE"/>
        </w:rPr>
        <w:t>GRAMMER</w:t>
      </w:r>
      <w:r w:rsidRPr="00486378">
        <w:rPr>
          <w:lang w:eastAsia="de-DE"/>
        </w:rPr>
        <w:t xml:space="preserve"> ist berechtigt, jegliche Verpackung für diesen Lieferum</w:t>
      </w:r>
      <w:r w:rsidR="00074017">
        <w:rPr>
          <w:lang w:eastAsia="de-DE"/>
        </w:rPr>
        <w:t>fang kostenfrei zu übernehmen.</w:t>
      </w:r>
    </w:p>
    <w:p w14:paraId="42868976" w14:textId="77777777" w:rsidR="0067627D" w:rsidRDefault="0067627D" w:rsidP="00074017">
      <w:pPr>
        <w:pStyle w:val="BodyText"/>
        <w:rPr>
          <w:lang w:eastAsia="de-DE"/>
        </w:rPr>
      </w:pPr>
    </w:p>
    <w:p w14:paraId="3E54598C" w14:textId="77777777" w:rsidR="0067627D" w:rsidRDefault="0067627D" w:rsidP="00074017">
      <w:pPr>
        <w:pStyle w:val="BodyText"/>
        <w:rPr>
          <w:lang w:eastAsia="de-DE"/>
        </w:rPr>
      </w:pPr>
    </w:p>
    <w:p w14:paraId="44FC15FE" w14:textId="77777777" w:rsidR="0067627D" w:rsidRPr="00486378" w:rsidRDefault="0067627D" w:rsidP="00074017">
      <w:pPr>
        <w:pStyle w:val="BodyText"/>
        <w:rPr>
          <w:lang w:eastAsia="de-DE"/>
        </w:rPr>
      </w:pPr>
    </w:p>
    <w:p w14:paraId="15E48BB7" w14:textId="77777777" w:rsidR="00486378" w:rsidRPr="00486378" w:rsidRDefault="00486378" w:rsidP="00074017">
      <w:pPr>
        <w:pStyle w:val="b2"/>
        <w:rPr>
          <w:lang w:eastAsia="de-DE"/>
        </w:rPr>
      </w:pPr>
      <w:bookmarkStart w:id="98" w:name="_Toc179342335"/>
      <w:bookmarkStart w:id="99" w:name="_Toc188346315"/>
      <w:r w:rsidRPr="00486378">
        <w:rPr>
          <w:lang w:eastAsia="de-DE"/>
        </w:rPr>
        <w:t>Verschrottung und Information zur Inventur</w:t>
      </w:r>
      <w:bookmarkEnd w:id="98"/>
      <w:bookmarkEnd w:id="99"/>
    </w:p>
    <w:p w14:paraId="7BD0A82B" w14:textId="77777777" w:rsidR="00486378" w:rsidRDefault="00486378" w:rsidP="00074017">
      <w:pPr>
        <w:pStyle w:val="BodyText"/>
        <w:rPr>
          <w:lang w:eastAsia="de-DE"/>
        </w:rPr>
      </w:pPr>
      <w:r w:rsidRPr="00486378">
        <w:rPr>
          <w:lang w:eastAsia="de-DE"/>
        </w:rPr>
        <w:t xml:space="preserve">Verpackung darf, aus Inventurgründen, nur nach schriftlicher Freigabe der zuständigen Leergutdisposition und Verpackungsplanung von </w:t>
      </w:r>
      <w:r w:rsidR="00AC6BB7">
        <w:rPr>
          <w:lang w:eastAsia="de-DE"/>
        </w:rPr>
        <w:t>GRAMMER</w:t>
      </w:r>
      <w:r w:rsidRPr="00486378">
        <w:rPr>
          <w:lang w:eastAsia="de-DE"/>
        </w:rPr>
        <w:t xml:space="preserve"> verschrottet/ vernichtet werden. Diese Regelung ist unabhängig vom Eigentumsverhältnis oder Besitz der Verpackung.</w:t>
      </w:r>
    </w:p>
    <w:p w14:paraId="0ED07EC6" w14:textId="77777777" w:rsidR="0067627D" w:rsidRPr="00486378" w:rsidRDefault="0067627D" w:rsidP="00074017">
      <w:pPr>
        <w:pStyle w:val="BodyText"/>
        <w:rPr>
          <w:lang w:eastAsia="de-DE"/>
        </w:rPr>
      </w:pPr>
    </w:p>
    <w:p w14:paraId="6F9C1CDC" w14:textId="77777777" w:rsidR="00486378" w:rsidRPr="00486378" w:rsidRDefault="0067627D" w:rsidP="0067627D">
      <w:pPr>
        <w:pStyle w:val="b3"/>
        <w:rPr>
          <w:lang w:eastAsia="de-DE"/>
        </w:rPr>
      </w:pPr>
      <w:bookmarkStart w:id="100" w:name="Leergutabwicklung"/>
      <w:bookmarkStart w:id="101" w:name="Leergu"/>
      <w:bookmarkStart w:id="102" w:name="_Toc179342336"/>
      <w:r>
        <w:rPr>
          <w:rFonts w:eastAsia="Times New Roman"/>
          <w:szCs w:val="22"/>
          <w:lang w:eastAsia="de-DE"/>
        </w:rPr>
        <w:br w:type="page"/>
      </w:r>
      <w:proofErr w:type="spellStart"/>
      <w:r w:rsidR="00486378" w:rsidRPr="00486378">
        <w:rPr>
          <w:lang w:eastAsia="de-DE"/>
        </w:rPr>
        <w:t>Leihgut</w:t>
      </w:r>
      <w:bookmarkEnd w:id="100"/>
      <w:bookmarkEnd w:id="101"/>
      <w:bookmarkEnd w:id="102"/>
      <w:proofErr w:type="spellEnd"/>
    </w:p>
    <w:p w14:paraId="530C2732" w14:textId="77777777" w:rsidR="00486378" w:rsidRPr="00486378" w:rsidRDefault="00486378" w:rsidP="0067627D">
      <w:pPr>
        <w:pStyle w:val="BodyText"/>
        <w:rPr>
          <w:lang w:eastAsia="de-DE"/>
        </w:rPr>
      </w:pPr>
      <w:r w:rsidRPr="00486378">
        <w:rPr>
          <w:lang w:eastAsia="de-DE"/>
        </w:rPr>
        <w:t>Die sich im Eigentum von GRAMMER befindlichen Ladungsträger werden lediglich für den Lieferantenkreislauf GRAMMER zur Verfügung gestellt. Inhouse Bedarfe beim Lieferanten sind hier nicht berücksichtigt!</w:t>
      </w:r>
    </w:p>
    <w:p w14:paraId="14488BFF" w14:textId="77777777" w:rsidR="00486378" w:rsidRDefault="00486378" w:rsidP="0067627D">
      <w:pPr>
        <w:pStyle w:val="BodyText"/>
        <w:rPr>
          <w:rFonts w:eastAsia="Times New Roman"/>
          <w:lang w:eastAsia="de-DE"/>
        </w:rPr>
      </w:pPr>
    </w:p>
    <w:p w14:paraId="3E2F7F84" w14:textId="77777777" w:rsidR="0067627D" w:rsidRDefault="0067627D" w:rsidP="0067627D">
      <w:pPr>
        <w:pStyle w:val="BodyText"/>
        <w:rPr>
          <w:rFonts w:eastAsia="Times New Roman"/>
          <w:lang w:eastAsia="de-DE"/>
        </w:rPr>
      </w:pPr>
    </w:p>
    <w:p w14:paraId="3F3BC88A" w14:textId="77777777" w:rsidR="0067627D" w:rsidRPr="00486378" w:rsidRDefault="0067627D" w:rsidP="0067627D">
      <w:pPr>
        <w:pStyle w:val="BodyText"/>
        <w:rPr>
          <w:rFonts w:eastAsia="Times New Roman"/>
          <w:lang w:eastAsia="de-DE"/>
        </w:rPr>
      </w:pPr>
    </w:p>
    <w:p w14:paraId="73892AF3" w14:textId="77777777" w:rsidR="00486378" w:rsidRPr="00486378" w:rsidRDefault="00486378" w:rsidP="00074017">
      <w:pPr>
        <w:pStyle w:val="b3"/>
        <w:rPr>
          <w:lang w:eastAsia="de-DE"/>
        </w:rPr>
      </w:pPr>
      <w:bookmarkStart w:id="103" w:name="_Toc179342337"/>
      <w:r w:rsidRPr="00486378">
        <w:rPr>
          <w:lang w:eastAsia="de-DE"/>
        </w:rPr>
        <w:t>Leihgutbehandlung</w:t>
      </w:r>
      <w:bookmarkEnd w:id="103"/>
      <w:r w:rsidRPr="00486378">
        <w:rPr>
          <w:lang w:eastAsia="de-DE"/>
        </w:rPr>
        <w:t xml:space="preserve"> </w:t>
      </w:r>
    </w:p>
    <w:p w14:paraId="70419DCB" w14:textId="77777777" w:rsidR="00486378" w:rsidRPr="00486378" w:rsidRDefault="00486378" w:rsidP="0067627D">
      <w:pPr>
        <w:pStyle w:val="BodyText"/>
        <w:rPr>
          <w:lang w:eastAsia="de-DE"/>
        </w:rPr>
      </w:pPr>
      <w:r w:rsidRPr="00486378">
        <w:rPr>
          <w:lang w:eastAsia="de-DE"/>
        </w:rPr>
        <w:t xml:space="preserve">Wiederanschaffungs-, Reparatur- bzw. Reinigungskosten beschädigter und/oder verschmutzter Behälter und Verpackungsmaterialien werden, soweit Eigentum von GRAMMER, dem Lieferanten nach dem Verursacherprinzip in Rechnung gestellt </w:t>
      </w:r>
    </w:p>
    <w:p w14:paraId="204F55C8" w14:textId="77777777" w:rsidR="00486378" w:rsidRDefault="00486378" w:rsidP="0067627D">
      <w:pPr>
        <w:pStyle w:val="BodyText"/>
        <w:rPr>
          <w:rFonts w:eastAsia="Times New Roman"/>
          <w:sz w:val="22"/>
          <w:szCs w:val="22"/>
          <w:lang w:eastAsia="de-DE"/>
        </w:rPr>
      </w:pPr>
    </w:p>
    <w:p w14:paraId="1E9A95D3" w14:textId="77777777" w:rsidR="0067627D" w:rsidRDefault="0067627D" w:rsidP="0067627D">
      <w:pPr>
        <w:pStyle w:val="BodyText"/>
        <w:rPr>
          <w:rFonts w:eastAsia="Times New Roman"/>
          <w:sz w:val="22"/>
          <w:szCs w:val="22"/>
          <w:lang w:eastAsia="de-DE"/>
        </w:rPr>
      </w:pPr>
    </w:p>
    <w:p w14:paraId="2B729406" w14:textId="77777777" w:rsidR="0067627D" w:rsidRPr="00486378" w:rsidRDefault="0067627D" w:rsidP="0067627D">
      <w:pPr>
        <w:pStyle w:val="BodyText"/>
        <w:rPr>
          <w:rFonts w:eastAsia="Times New Roman"/>
          <w:sz w:val="22"/>
          <w:szCs w:val="22"/>
          <w:lang w:eastAsia="de-DE"/>
        </w:rPr>
      </w:pPr>
    </w:p>
    <w:p w14:paraId="65A571E2" w14:textId="77777777" w:rsidR="00486378" w:rsidRPr="00486378" w:rsidRDefault="00486378" w:rsidP="00074017">
      <w:pPr>
        <w:pStyle w:val="b3"/>
        <w:rPr>
          <w:lang w:eastAsia="de-DE"/>
        </w:rPr>
      </w:pPr>
      <w:bookmarkStart w:id="104" w:name="_Toc179342338"/>
      <w:r w:rsidRPr="00486378">
        <w:rPr>
          <w:lang w:eastAsia="de-DE"/>
        </w:rPr>
        <w:t>Kontenführung und –</w:t>
      </w:r>
      <w:proofErr w:type="spellStart"/>
      <w:r w:rsidRPr="00486378">
        <w:rPr>
          <w:lang w:eastAsia="de-DE"/>
        </w:rPr>
        <w:t>abgleich</w:t>
      </w:r>
      <w:bookmarkEnd w:id="104"/>
      <w:proofErr w:type="spellEnd"/>
    </w:p>
    <w:p w14:paraId="170EE4CA" w14:textId="77777777" w:rsidR="00486378" w:rsidRPr="00486378" w:rsidRDefault="00486378" w:rsidP="0067627D">
      <w:pPr>
        <w:pStyle w:val="BodyText"/>
        <w:rPr>
          <w:lang w:eastAsia="de-DE"/>
        </w:rPr>
      </w:pPr>
      <w:r w:rsidRPr="00486378">
        <w:rPr>
          <w:lang w:eastAsia="de-DE"/>
        </w:rPr>
        <w:t xml:space="preserve">Der Lieferant ist verpflichtet während der Belieferungszeit für Mehrwegverpackungen laufend Behälterkonten zu führen. Zur lückenlosen Bestandsführung sind Verpackungsdaten auf Lieferscheinen unbedingt als separate Position aufzuführen. Zu festgelegten Stichtagen werden die Bestandsdaten dem Lieferanten zur Abstimmung übermittelt. Erfolgt innerhalb von 10 Arbeitstagen nach Eingang kein Widerspruch, so gelten die durch </w:t>
      </w:r>
      <w:r w:rsidR="00AC6BB7">
        <w:rPr>
          <w:lang w:eastAsia="de-DE"/>
        </w:rPr>
        <w:t>GRAMMER</w:t>
      </w:r>
      <w:r w:rsidRPr="00486378">
        <w:rPr>
          <w:lang w:eastAsia="de-DE"/>
        </w:rPr>
        <w:t xml:space="preserve"> mitgeteilten Bestände als anerkannt. Auf Anfrage hat der Lieferant seinen Kontostand jederzeit unverzüglich mitzuteilen. </w:t>
      </w:r>
    </w:p>
    <w:p w14:paraId="316BCC43" w14:textId="77777777" w:rsidR="00486378" w:rsidRDefault="00486378" w:rsidP="0067627D">
      <w:pPr>
        <w:pStyle w:val="BodyText"/>
        <w:rPr>
          <w:rFonts w:eastAsia="Times New Roman"/>
          <w:sz w:val="22"/>
          <w:szCs w:val="22"/>
          <w:lang w:eastAsia="de-DE"/>
        </w:rPr>
      </w:pPr>
    </w:p>
    <w:p w14:paraId="0F87E6A2" w14:textId="77777777" w:rsidR="0067627D" w:rsidRDefault="0067627D" w:rsidP="0067627D">
      <w:pPr>
        <w:pStyle w:val="BodyText"/>
        <w:rPr>
          <w:rFonts w:eastAsia="Times New Roman"/>
          <w:sz w:val="22"/>
          <w:szCs w:val="22"/>
          <w:lang w:eastAsia="de-DE"/>
        </w:rPr>
      </w:pPr>
    </w:p>
    <w:p w14:paraId="6BA7827B" w14:textId="77777777" w:rsidR="0067627D" w:rsidRPr="00486378" w:rsidRDefault="0067627D" w:rsidP="0067627D">
      <w:pPr>
        <w:pStyle w:val="BodyText"/>
        <w:rPr>
          <w:rFonts w:eastAsia="Times New Roman"/>
          <w:sz w:val="22"/>
          <w:szCs w:val="22"/>
          <w:lang w:eastAsia="de-DE"/>
        </w:rPr>
      </w:pPr>
    </w:p>
    <w:p w14:paraId="14459A47" w14:textId="77777777" w:rsidR="00486378" w:rsidRPr="00486378" w:rsidRDefault="00486378" w:rsidP="00074017">
      <w:pPr>
        <w:pStyle w:val="b4"/>
        <w:rPr>
          <w:lang w:eastAsia="de-DE"/>
        </w:rPr>
      </w:pPr>
      <w:bookmarkStart w:id="105" w:name="_Toc179342339"/>
      <w:r w:rsidRPr="00486378">
        <w:rPr>
          <w:lang w:eastAsia="de-DE"/>
        </w:rPr>
        <w:t>Leihgutabwicklung mit SAP-geführten G</w:t>
      </w:r>
      <w:r w:rsidR="00AC6BB7">
        <w:rPr>
          <w:lang w:eastAsia="de-DE"/>
        </w:rPr>
        <w:t>RAMMER</w:t>
      </w:r>
      <w:r w:rsidRPr="00486378">
        <w:rPr>
          <w:lang w:eastAsia="de-DE"/>
        </w:rPr>
        <w:t xml:space="preserve"> Werken</w:t>
      </w:r>
      <w:bookmarkEnd w:id="105"/>
    </w:p>
    <w:p w14:paraId="4D3C575B" w14:textId="77777777" w:rsidR="00486378" w:rsidRPr="00486378" w:rsidRDefault="00486378" w:rsidP="00074017">
      <w:pPr>
        <w:pStyle w:val="BodyText"/>
        <w:rPr>
          <w:lang w:eastAsia="de-DE"/>
        </w:rPr>
      </w:pPr>
      <w:r w:rsidRPr="00486378">
        <w:rPr>
          <w:lang w:eastAsia="de-DE"/>
        </w:rPr>
        <w:t xml:space="preserve">Die Leihgutkontoführung kann für alle tauschfähigen Verpackungen über das SAP Leihgutmanagement durchgeführt werden. Die Kontoauszüge stehen dem Lieferanten zu einem festgelegten Stichtag im </w:t>
      </w:r>
      <w:proofErr w:type="gramStart"/>
      <w:r w:rsidRPr="00486378">
        <w:rPr>
          <w:lang w:eastAsia="de-DE"/>
        </w:rPr>
        <w:t>GRAMMER  Lieferantenportal</w:t>
      </w:r>
      <w:proofErr w:type="gramEnd"/>
      <w:r w:rsidRPr="00486378">
        <w:rPr>
          <w:lang w:eastAsia="de-DE"/>
        </w:rPr>
        <w:t xml:space="preserve"> zur Verfügung. Der Lieferant ist verpflichtet, diese Kontoauszüge einzusehen und wie vorgegeben mit GRAMMER abzustimmen. Erfolgt innerhalb von 10 Arbeitstagen nach Einstellung in das GRAMMER Lieferantenportal kein </w:t>
      </w:r>
      <w:proofErr w:type="gramStart"/>
      <w:r w:rsidRPr="00486378">
        <w:rPr>
          <w:lang w:eastAsia="de-DE"/>
        </w:rPr>
        <w:t>Widerspruch,  so</w:t>
      </w:r>
      <w:proofErr w:type="gramEnd"/>
      <w:r w:rsidRPr="00486378">
        <w:rPr>
          <w:lang w:eastAsia="de-DE"/>
        </w:rPr>
        <w:t xml:space="preserve"> gelten die durch </w:t>
      </w:r>
      <w:r w:rsidR="00AC6BB7">
        <w:rPr>
          <w:lang w:eastAsia="de-DE"/>
        </w:rPr>
        <w:t>GRAMMER</w:t>
      </w:r>
      <w:r w:rsidRPr="00486378">
        <w:rPr>
          <w:lang w:eastAsia="de-DE"/>
        </w:rPr>
        <w:t xml:space="preserve"> mitgeteilten Bestände als anerkannt.</w:t>
      </w:r>
    </w:p>
    <w:p w14:paraId="1EF0156D" w14:textId="77777777" w:rsidR="00486378" w:rsidRPr="00486378" w:rsidRDefault="00486378" w:rsidP="00074017">
      <w:pPr>
        <w:pStyle w:val="BodyText"/>
        <w:rPr>
          <w:lang w:eastAsia="de-DE"/>
        </w:rPr>
      </w:pPr>
    </w:p>
    <w:p w14:paraId="7B72C87E" w14:textId="26902DB3" w:rsidR="00486378" w:rsidRPr="00486378" w:rsidRDefault="00486378" w:rsidP="00074017">
      <w:pPr>
        <w:pStyle w:val="BodyText"/>
        <w:rPr>
          <w:b/>
          <w:lang w:eastAsia="de-DE"/>
        </w:rPr>
      </w:pPr>
      <w:r w:rsidRPr="00486378">
        <w:rPr>
          <w:lang w:eastAsia="de-DE"/>
        </w:rPr>
        <w:t>Der Zugang zum GRAMMER Lieferantenportal erfolgt über</w:t>
      </w:r>
      <w:r w:rsidR="00C91755">
        <w:rPr>
          <w:b/>
          <w:lang w:eastAsia="de-DE"/>
        </w:rPr>
        <w:t xml:space="preserve">: </w:t>
      </w:r>
      <w:r w:rsidR="00C91755" w:rsidRPr="00C91755">
        <w:rPr>
          <w:b/>
          <w:lang w:eastAsia="de-DE"/>
        </w:rPr>
        <w:t>https://www.grammer.com/supplier-support/logisitcs/</w:t>
      </w:r>
    </w:p>
    <w:p w14:paraId="7D827810" w14:textId="77777777" w:rsidR="00486378" w:rsidRPr="00486378" w:rsidRDefault="00486378" w:rsidP="00486378">
      <w:pPr>
        <w:tabs>
          <w:tab w:val="left" w:pos="720"/>
        </w:tabs>
        <w:jc w:val="both"/>
        <w:rPr>
          <w:rFonts w:eastAsia="Times New Roman"/>
          <w:sz w:val="22"/>
          <w:szCs w:val="22"/>
          <w:lang w:eastAsia="de-DE"/>
        </w:rPr>
      </w:pPr>
    </w:p>
    <w:p w14:paraId="11450C67" w14:textId="77777777" w:rsidR="00486378" w:rsidRPr="00486378" w:rsidRDefault="00C2485E" w:rsidP="00074017">
      <w:pPr>
        <w:pStyle w:val="b2"/>
        <w:rPr>
          <w:lang w:eastAsia="de-DE"/>
        </w:rPr>
      </w:pPr>
      <w:bookmarkStart w:id="106" w:name="Verpackungsdatenblatt"/>
      <w:bookmarkStart w:id="107" w:name="_Toc179342340"/>
      <w:r>
        <w:rPr>
          <w:lang w:eastAsia="de-DE"/>
        </w:rPr>
        <w:br w:type="page"/>
      </w:r>
      <w:bookmarkStart w:id="108" w:name="_Toc188346316"/>
      <w:r w:rsidR="00486378" w:rsidRPr="00486378">
        <w:rPr>
          <w:lang w:eastAsia="de-DE"/>
        </w:rPr>
        <w:t>Verpackungsdatenblatt</w:t>
      </w:r>
      <w:bookmarkEnd w:id="106"/>
      <w:r w:rsidR="00486378" w:rsidRPr="00486378">
        <w:rPr>
          <w:lang w:eastAsia="de-DE"/>
        </w:rPr>
        <w:t xml:space="preserve"> (VDB)</w:t>
      </w:r>
      <w:bookmarkEnd w:id="107"/>
      <w:bookmarkEnd w:id="108"/>
    </w:p>
    <w:p w14:paraId="20F9985F" w14:textId="77777777" w:rsidR="00486378" w:rsidRPr="00486378" w:rsidRDefault="00486378" w:rsidP="0067627D">
      <w:pPr>
        <w:pStyle w:val="BodyText"/>
        <w:rPr>
          <w:lang w:eastAsia="de-DE"/>
        </w:rPr>
      </w:pPr>
      <w:r w:rsidRPr="00486378">
        <w:rPr>
          <w:lang w:eastAsia="de-DE"/>
        </w:rPr>
        <w:t>Die Verpackungsdatenblätter werden in SAP erstellt und sind für den Lieferanten über das Lieferantenportal jederzeit einsehbar. Für jede Materialnummer muss ein separates Verpackungsdatenblatt vorhanden sein.</w:t>
      </w:r>
    </w:p>
    <w:p w14:paraId="22573CE5" w14:textId="77777777" w:rsidR="00486378" w:rsidRPr="00486378" w:rsidRDefault="00486378" w:rsidP="0067627D">
      <w:pPr>
        <w:pStyle w:val="BodyText"/>
        <w:rPr>
          <w:lang w:eastAsia="de-DE"/>
        </w:rPr>
      </w:pPr>
      <w:r w:rsidRPr="00486378">
        <w:rPr>
          <w:lang w:eastAsia="de-DE"/>
        </w:rPr>
        <w:t>Zur Bearbeitung bzw. Anzeige der Verpackungsdatenblätter in SAP erhält der Lieferant einen Zugang zum Lieferantenportal und eine detaillierte Schulungsunterlage zum Umgang mit dem Lieferantenportal, sowie einer Beschreibung der einzelnen Funktionen. Die jeweils aktuelle Version des Verpackungsdatenblattes ist online verfügbar.</w:t>
      </w:r>
    </w:p>
    <w:p w14:paraId="07C7E281" w14:textId="77777777" w:rsidR="00486378" w:rsidRPr="00486378" w:rsidRDefault="00486378" w:rsidP="0067627D">
      <w:pPr>
        <w:pStyle w:val="BodyText"/>
        <w:rPr>
          <w:lang w:eastAsia="de-DE"/>
        </w:rPr>
      </w:pPr>
      <w:r w:rsidRPr="00486378">
        <w:rPr>
          <w:lang w:eastAsia="de-DE"/>
        </w:rPr>
        <w:t>Der Lieferant ist verpflichtet, die im gültigen Verpackungsdatenblatt beschriebene Verpackung einzusetzen.</w:t>
      </w:r>
    </w:p>
    <w:p w14:paraId="1A492304" w14:textId="77777777" w:rsidR="00486378" w:rsidRPr="00486378" w:rsidRDefault="00486378" w:rsidP="0067627D">
      <w:pPr>
        <w:pStyle w:val="BodyText"/>
        <w:rPr>
          <w:lang w:eastAsia="de-DE"/>
        </w:rPr>
      </w:pPr>
    </w:p>
    <w:p w14:paraId="02D1141E" w14:textId="77777777" w:rsidR="00486378" w:rsidRPr="00486378" w:rsidRDefault="00486378" w:rsidP="0067627D">
      <w:pPr>
        <w:pStyle w:val="BodyText"/>
        <w:rPr>
          <w:lang w:eastAsia="de-DE"/>
        </w:rPr>
      </w:pPr>
      <w:r w:rsidRPr="00486378">
        <w:rPr>
          <w:lang w:eastAsia="de-DE"/>
        </w:rPr>
        <w:t>Ältere, bestehende Verpackungsdatenblätter, die nicht in SAP hinterlegt sind, behalten weiterhin ihre Gültigkeit.</w:t>
      </w:r>
    </w:p>
    <w:p w14:paraId="7BD2B120" w14:textId="77777777" w:rsidR="00486378" w:rsidRDefault="00486378" w:rsidP="0067627D">
      <w:pPr>
        <w:pStyle w:val="BodyText"/>
        <w:rPr>
          <w:rFonts w:eastAsia="Times New Roman"/>
          <w:sz w:val="22"/>
          <w:szCs w:val="22"/>
          <w:lang w:eastAsia="de-DE"/>
        </w:rPr>
      </w:pPr>
    </w:p>
    <w:p w14:paraId="5CE2020C" w14:textId="77777777" w:rsidR="0067627D" w:rsidRDefault="0067627D" w:rsidP="0067627D">
      <w:pPr>
        <w:pStyle w:val="BodyText"/>
        <w:rPr>
          <w:rFonts w:eastAsia="Times New Roman"/>
          <w:sz w:val="22"/>
          <w:szCs w:val="22"/>
          <w:lang w:eastAsia="de-DE"/>
        </w:rPr>
      </w:pPr>
    </w:p>
    <w:p w14:paraId="65757613" w14:textId="77777777" w:rsidR="0067627D" w:rsidRPr="00486378" w:rsidRDefault="0067627D" w:rsidP="0067627D">
      <w:pPr>
        <w:pStyle w:val="BodyText"/>
        <w:rPr>
          <w:rFonts w:eastAsia="Times New Roman"/>
          <w:sz w:val="22"/>
          <w:szCs w:val="22"/>
          <w:lang w:eastAsia="de-DE"/>
        </w:rPr>
      </w:pPr>
    </w:p>
    <w:p w14:paraId="663FB06F" w14:textId="77777777" w:rsidR="00486378" w:rsidRPr="00486378" w:rsidRDefault="00C2485E" w:rsidP="00074017">
      <w:pPr>
        <w:pStyle w:val="b2"/>
        <w:rPr>
          <w:lang w:eastAsia="de-DE"/>
        </w:rPr>
      </w:pPr>
      <w:bookmarkStart w:id="109" w:name="Warenkennzeichnung"/>
      <w:bookmarkStart w:id="110" w:name="_Toc179342341"/>
      <w:r>
        <w:rPr>
          <w:lang w:eastAsia="de-DE"/>
        </w:rPr>
        <w:br w:type="page"/>
      </w:r>
      <w:bookmarkStart w:id="111" w:name="_Toc188346317"/>
      <w:r w:rsidR="00486378" w:rsidRPr="00486378">
        <w:rPr>
          <w:lang w:eastAsia="de-DE"/>
        </w:rPr>
        <w:t>Warenkennzeichnung</w:t>
      </w:r>
      <w:bookmarkEnd w:id="109"/>
      <w:bookmarkEnd w:id="110"/>
      <w:bookmarkEnd w:id="111"/>
    </w:p>
    <w:p w14:paraId="346083FE" w14:textId="7EE190EE" w:rsidR="00486378" w:rsidRPr="00486378" w:rsidRDefault="00486378" w:rsidP="00074017">
      <w:pPr>
        <w:pStyle w:val="BodyText"/>
        <w:rPr>
          <w:lang w:eastAsia="de-DE"/>
        </w:rPr>
      </w:pPr>
      <w:r w:rsidRPr="00486378">
        <w:rPr>
          <w:lang w:eastAsia="de-DE"/>
        </w:rPr>
        <w:t xml:space="preserve">Jede Verpackungseinheit muss mit einem Label gemäß VDA 4902 der aktuellen Version bzw. den kompatiblen Warenanhängern der Systeme ODETTE bzw. AIAG (Übersee), ausgezeichnet sein. Anzahl und Position der </w:t>
      </w:r>
      <w:r w:rsidR="00F47595" w:rsidRPr="00486378">
        <w:rPr>
          <w:lang w:eastAsia="de-DE"/>
        </w:rPr>
        <w:t>Warenanhänger</w:t>
      </w:r>
      <w:r w:rsidRPr="00486378">
        <w:rPr>
          <w:lang w:eastAsia="de-DE"/>
        </w:rPr>
        <w:t xml:space="preserve"> ist zwischen </w:t>
      </w:r>
      <w:proofErr w:type="gramStart"/>
      <w:r w:rsidRPr="00486378">
        <w:rPr>
          <w:lang w:eastAsia="de-DE"/>
        </w:rPr>
        <w:t>dem  Lieferanten</w:t>
      </w:r>
      <w:proofErr w:type="gramEnd"/>
      <w:r w:rsidRPr="00486378">
        <w:rPr>
          <w:lang w:eastAsia="de-DE"/>
        </w:rPr>
        <w:t xml:space="preserve"> und </w:t>
      </w:r>
      <w:r w:rsidR="00AC6BB7">
        <w:rPr>
          <w:lang w:eastAsia="de-DE"/>
        </w:rPr>
        <w:t>GRAMMER</w:t>
      </w:r>
      <w:r w:rsidRPr="00486378">
        <w:rPr>
          <w:lang w:eastAsia="de-DE"/>
        </w:rPr>
        <w:t xml:space="preserve"> abzustimmen.</w:t>
      </w:r>
    </w:p>
    <w:p w14:paraId="75B46FCD" w14:textId="77777777" w:rsidR="00486378" w:rsidRPr="00486378" w:rsidRDefault="00486378" w:rsidP="00074017">
      <w:pPr>
        <w:pStyle w:val="BodyText"/>
        <w:rPr>
          <w:lang w:eastAsia="de-DE"/>
        </w:rPr>
      </w:pPr>
    </w:p>
    <w:p w14:paraId="26320515" w14:textId="77777777" w:rsidR="00486378" w:rsidRPr="00486378" w:rsidRDefault="00486378" w:rsidP="00074017">
      <w:pPr>
        <w:pStyle w:val="BodyText"/>
        <w:rPr>
          <w:lang w:eastAsia="de-DE"/>
        </w:rPr>
      </w:pPr>
      <w:r w:rsidRPr="00486378">
        <w:rPr>
          <w:lang w:eastAsia="de-DE"/>
        </w:rPr>
        <w:t>Der Beleg muss die folgenden Daten enthalten:</w:t>
      </w:r>
    </w:p>
    <w:p w14:paraId="67F9C8F9" w14:textId="77777777" w:rsidR="00486378" w:rsidRPr="00486378" w:rsidRDefault="00486378" w:rsidP="00486378">
      <w:pPr>
        <w:autoSpaceDE w:val="0"/>
        <w:autoSpaceDN w:val="0"/>
        <w:adjustRightInd w:val="0"/>
        <w:ind w:firstLine="709"/>
        <w:jc w:val="both"/>
        <w:rPr>
          <w:rFonts w:eastAsia="Times New Roman"/>
          <w:sz w:val="22"/>
          <w:szCs w:val="22"/>
          <w:lang w:eastAsia="de-DE"/>
        </w:rPr>
      </w:pPr>
    </w:p>
    <w:tbl>
      <w:tblPr>
        <w:tblW w:w="0" w:type="auto"/>
        <w:tblLayout w:type="fixed"/>
        <w:tblCellMar>
          <w:left w:w="0" w:type="dxa"/>
          <w:right w:w="0" w:type="dxa"/>
        </w:tblCellMar>
        <w:tblLook w:val="0000" w:firstRow="0" w:lastRow="0" w:firstColumn="0" w:lastColumn="0" w:noHBand="0" w:noVBand="0"/>
      </w:tblPr>
      <w:tblGrid>
        <w:gridCol w:w="648"/>
        <w:gridCol w:w="3600"/>
        <w:gridCol w:w="900"/>
        <w:gridCol w:w="1260"/>
        <w:gridCol w:w="2596"/>
      </w:tblGrid>
      <w:tr w:rsidR="00486378" w:rsidRPr="00C2485E" w14:paraId="21477A2E" w14:textId="77777777" w:rsidTr="00A008FA">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9FEA32" w14:textId="77777777" w:rsidR="00486378" w:rsidRPr="00C2485E" w:rsidRDefault="00486378" w:rsidP="0067627D">
            <w:pPr>
              <w:pStyle w:val="BodyText"/>
              <w:rPr>
                <w:sz w:val="16"/>
                <w:szCs w:val="16"/>
                <w:lang w:eastAsia="de-DE"/>
              </w:rPr>
            </w:pPr>
            <w:r w:rsidRPr="00C2485E">
              <w:rPr>
                <w:sz w:val="16"/>
                <w:szCs w:val="16"/>
                <w:lang w:eastAsia="de-DE"/>
              </w:rPr>
              <w:t>Nr.</w:t>
            </w:r>
          </w:p>
        </w:tc>
        <w:tc>
          <w:tcPr>
            <w:tcW w:w="36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5E87607" w14:textId="77777777" w:rsidR="00486378" w:rsidRPr="00C2485E" w:rsidRDefault="00486378" w:rsidP="0067627D">
            <w:pPr>
              <w:pStyle w:val="BodyText"/>
              <w:rPr>
                <w:sz w:val="16"/>
                <w:szCs w:val="16"/>
                <w:lang w:eastAsia="de-DE"/>
              </w:rPr>
            </w:pPr>
            <w:r w:rsidRPr="00C2485E">
              <w:rPr>
                <w:sz w:val="16"/>
                <w:szCs w:val="16"/>
                <w:lang w:eastAsia="de-DE"/>
              </w:rPr>
              <w:t>Feldname/Datenelement</w:t>
            </w:r>
          </w:p>
        </w:tc>
        <w:tc>
          <w:tcPr>
            <w:tcW w:w="9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204B9BE" w14:textId="77777777" w:rsidR="00486378" w:rsidRPr="00C2485E" w:rsidRDefault="00486378" w:rsidP="0067627D">
            <w:pPr>
              <w:pStyle w:val="BodyText"/>
              <w:rPr>
                <w:sz w:val="16"/>
                <w:szCs w:val="16"/>
                <w:lang w:eastAsia="de-DE"/>
              </w:rPr>
            </w:pPr>
            <w:proofErr w:type="gramStart"/>
            <w:r w:rsidRPr="00C2485E">
              <w:rPr>
                <w:sz w:val="16"/>
                <w:szCs w:val="16"/>
                <w:lang w:eastAsia="de-DE"/>
              </w:rPr>
              <w:t>Muss</w:t>
            </w:r>
            <w:proofErr w:type="gramEnd"/>
            <w:r w:rsidRPr="00C2485E">
              <w:rPr>
                <w:sz w:val="16"/>
                <w:szCs w:val="16"/>
                <w:lang w:eastAsia="de-DE"/>
              </w:rPr>
              <w:t>/</w:t>
            </w:r>
          </w:p>
          <w:p w14:paraId="7A5687A2" w14:textId="77777777" w:rsidR="00486378" w:rsidRPr="00C2485E" w:rsidRDefault="00486378" w:rsidP="0067627D">
            <w:pPr>
              <w:pStyle w:val="BodyText"/>
              <w:rPr>
                <w:sz w:val="16"/>
                <w:szCs w:val="16"/>
                <w:lang w:eastAsia="de-DE"/>
              </w:rPr>
            </w:pPr>
            <w:proofErr w:type="gramStart"/>
            <w:r w:rsidRPr="00C2485E">
              <w:rPr>
                <w:sz w:val="16"/>
                <w:szCs w:val="16"/>
                <w:lang w:eastAsia="de-DE"/>
              </w:rPr>
              <w:t>Kann</w:t>
            </w:r>
            <w:proofErr w:type="gramEnd"/>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9E5B58" w14:textId="77777777" w:rsidR="00486378" w:rsidRPr="00C2485E" w:rsidRDefault="00486378" w:rsidP="0067627D">
            <w:pPr>
              <w:pStyle w:val="BodyText"/>
              <w:rPr>
                <w:sz w:val="16"/>
                <w:szCs w:val="16"/>
                <w:lang w:eastAsia="de-DE"/>
              </w:rPr>
            </w:pPr>
            <w:r w:rsidRPr="00C2485E">
              <w:rPr>
                <w:sz w:val="16"/>
                <w:szCs w:val="16"/>
                <w:lang w:eastAsia="de-DE"/>
              </w:rPr>
              <w:t>Barcode</w:t>
            </w:r>
          </w:p>
        </w:tc>
        <w:tc>
          <w:tcPr>
            <w:tcW w:w="259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A2324CC" w14:textId="77777777" w:rsidR="00486378" w:rsidRPr="00C2485E" w:rsidRDefault="00486378" w:rsidP="0067627D">
            <w:pPr>
              <w:pStyle w:val="BodyText"/>
              <w:rPr>
                <w:sz w:val="16"/>
                <w:szCs w:val="16"/>
                <w:lang w:eastAsia="de-DE"/>
              </w:rPr>
            </w:pPr>
            <w:r w:rsidRPr="00C2485E">
              <w:rPr>
                <w:sz w:val="16"/>
                <w:szCs w:val="16"/>
                <w:lang w:eastAsia="de-DE"/>
              </w:rPr>
              <w:t>Bemerkung</w:t>
            </w:r>
          </w:p>
        </w:tc>
      </w:tr>
      <w:tr w:rsidR="00486378" w:rsidRPr="00C2485E" w14:paraId="1BC52B16"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2708E8" w14:textId="77777777" w:rsidR="00486378" w:rsidRPr="00C2485E" w:rsidRDefault="00486378" w:rsidP="0067627D">
            <w:pPr>
              <w:pStyle w:val="BodyText"/>
              <w:rPr>
                <w:sz w:val="16"/>
                <w:szCs w:val="16"/>
                <w:lang w:eastAsia="de-DE"/>
              </w:rPr>
            </w:pPr>
            <w:r w:rsidRPr="00C2485E">
              <w:rPr>
                <w:sz w:val="16"/>
                <w:szCs w:val="16"/>
                <w:lang w:eastAsia="de-DE"/>
              </w:rPr>
              <w:t>1</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4A8D9016" w14:textId="77777777" w:rsidR="00486378" w:rsidRPr="00C2485E" w:rsidRDefault="00486378" w:rsidP="0067627D">
            <w:pPr>
              <w:pStyle w:val="BodyText"/>
              <w:rPr>
                <w:sz w:val="16"/>
                <w:szCs w:val="16"/>
                <w:lang w:eastAsia="de-DE"/>
              </w:rPr>
            </w:pPr>
            <w:r w:rsidRPr="00C2485E">
              <w:rPr>
                <w:sz w:val="16"/>
                <w:szCs w:val="16"/>
                <w:lang w:eastAsia="de-DE"/>
              </w:rPr>
              <w:t>Warenempfänger kurz</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33DD73BC" w14:textId="77777777" w:rsidR="00486378" w:rsidRPr="00C2485E" w:rsidRDefault="00486378" w:rsidP="0067627D">
            <w:pPr>
              <w:pStyle w:val="BodyText"/>
              <w:rPr>
                <w:sz w:val="16"/>
                <w:szCs w:val="16"/>
                <w:lang w:eastAsia="de-DE"/>
              </w:rPr>
            </w:pPr>
            <w:r w:rsidRPr="00C2485E">
              <w:rPr>
                <w:sz w:val="16"/>
                <w:szCs w:val="16"/>
                <w:lang w:eastAsia="de-DE"/>
              </w:rPr>
              <w:t>M</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51ADC1AC"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11EBBD2D" w14:textId="77777777" w:rsidR="00486378" w:rsidRPr="00C2485E" w:rsidRDefault="00486378" w:rsidP="0067627D">
            <w:pPr>
              <w:pStyle w:val="BodyText"/>
              <w:rPr>
                <w:sz w:val="16"/>
                <w:szCs w:val="16"/>
                <w:lang w:eastAsia="de-DE"/>
              </w:rPr>
            </w:pPr>
          </w:p>
        </w:tc>
      </w:tr>
      <w:tr w:rsidR="00486378" w:rsidRPr="00C2485E" w14:paraId="76AC98C5"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12A642" w14:textId="77777777" w:rsidR="00486378" w:rsidRPr="00C2485E" w:rsidRDefault="00486378" w:rsidP="0067627D">
            <w:pPr>
              <w:pStyle w:val="BodyText"/>
              <w:rPr>
                <w:sz w:val="16"/>
                <w:szCs w:val="16"/>
                <w:lang w:eastAsia="de-DE"/>
              </w:rPr>
            </w:pPr>
            <w:r w:rsidRPr="00C2485E">
              <w:rPr>
                <w:sz w:val="16"/>
                <w:szCs w:val="16"/>
                <w:lang w:eastAsia="de-DE"/>
              </w:rPr>
              <w:t>2</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448125D1" w14:textId="77777777" w:rsidR="00486378" w:rsidRPr="00C2485E" w:rsidRDefault="00486378" w:rsidP="0067627D">
            <w:pPr>
              <w:pStyle w:val="BodyText"/>
              <w:rPr>
                <w:sz w:val="16"/>
                <w:szCs w:val="16"/>
                <w:lang w:eastAsia="de-DE"/>
              </w:rPr>
            </w:pPr>
            <w:r w:rsidRPr="00C2485E">
              <w:rPr>
                <w:sz w:val="16"/>
                <w:szCs w:val="16"/>
                <w:lang w:eastAsia="de-DE"/>
              </w:rPr>
              <w:t>Abladestelle</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299495E0" w14:textId="77777777" w:rsidR="00486378" w:rsidRPr="00C2485E" w:rsidRDefault="00486378" w:rsidP="0067627D">
            <w:pPr>
              <w:pStyle w:val="BodyText"/>
              <w:rPr>
                <w:sz w:val="16"/>
                <w:szCs w:val="16"/>
                <w:lang w:eastAsia="de-DE"/>
              </w:rPr>
            </w:pPr>
            <w:r w:rsidRPr="00C2485E">
              <w:rPr>
                <w:sz w:val="16"/>
                <w:szCs w:val="16"/>
                <w:lang w:eastAsia="de-DE"/>
              </w:rPr>
              <w:t>M</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444668C6"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5C2E48D2" w14:textId="77777777" w:rsidR="00486378" w:rsidRPr="00C2485E" w:rsidRDefault="00486378" w:rsidP="0067627D">
            <w:pPr>
              <w:pStyle w:val="BodyText"/>
              <w:rPr>
                <w:sz w:val="16"/>
                <w:szCs w:val="16"/>
                <w:lang w:eastAsia="de-DE"/>
              </w:rPr>
            </w:pPr>
          </w:p>
        </w:tc>
      </w:tr>
      <w:tr w:rsidR="00486378" w:rsidRPr="00C2485E" w14:paraId="4FD29C02"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6DC0C4" w14:textId="77777777" w:rsidR="00486378" w:rsidRPr="00C2485E" w:rsidRDefault="00486378" w:rsidP="0067627D">
            <w:pPr>
              <w:pStyle w:val="BodyText"/>
              <w:rPr>
                <w:sz w:val="16"/>
                <w:szCs w:val="16"/>
                <w:lang w:eastAsia="de-DE"/>
              </w:rPr>
            </w:pPr>
            <w:r w:rsidRPr="00C2485E">
              <w:rPr>
                <w:sz w:val="16"/>
                <w:szCs w:val="16"/>
                <w:lang w:eastAsia="de-DE"/>
              </w:rPr>
              <w:t>3</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4B88FB24" w14:textId="77777777" w:rsidR="00486378" w:rsidRPr="00C2485E" w:rsidRDefault="00486378" w:rsidP="0067627D">
            <w:pPr>
              <w:pStyle w:val="BodyText"/>
              <w:rPr>
                <w:sz w:val="16"/>
                <w:szCs w:val="16"/>
                <w:lang w:eastAsia="de-DE"/>
              </w:rPr>
            </w:pPr>
            <w:r w:rsidRPr="00C2485E">
              <w:rPr>
                <w:sz w:val="16"/>
                <w:szCs w:val="16"/>
                <w:lang w:eastAsia="de-DE"/>
              </w:rPr>
              <w:t>Lieferscheinnummer</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6117690C" w14:textId="77777777" w:rsidR="00486378" w:rsidRPr="00C2485E" w:rsidRDefault="00486378" w:rsidP="0067627D">
            <w:pPr>
              <w:pStyle w:val="BodyText"/>
              <w:rPr>
                <w:sz w:val="16"/>
                <w:szCs w:val="16"/>
                <w:lang w:eastAsia="de-DE"/>
              </w:rPr>
            </w:pPr>
            <w:r w:rsidRPr="00C2485E">
              <w:rPr>
                <w:sz w:val="16"/>
                <w:szCs w:val="16"/>
                <w:lang w:eastAsia="de-DE"/>
              </w:rPr>
              <w:t>M</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5A25CA73" w14:textId="77777777" w:rsidR="00486378" w:rsidRPr="00C2485E" w:rsidRDefault="00486378" w:rsidP="0067627D">
            <w:pPr>
              <w:pStyle w:val="BodyText"/>
              <w:rPr>
                <w:sz w:val="16"/>
                <w:szCs w:val="16"/>
                <w:lang w:eastAsia="de-DE"/>
              </w:rPr>
            </w:pPr>
            <w:r w:rsidRPr="00C2485E">
              <w:rPr>
                <w:sz w:val="16"/>
                <w:szCs w:val="16"/>
                <w:lang w:eastAsia="de-DE"/>
              </w:rPr>
              <w:t>Ja</w:t>
            </w: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76D4767D" w14:textId="77777777" w:rsidR="00486378" w:rsidRPr="00C2485E" w:rsidRDefault="00486378" w:rsidP="0067627D">
            <w:pPr>
              <w:pStyle w:val="BodyText"/>
              <w:rPr>
                <w:sz w:val="16"/>
                <w:szCs w:val="16"/>
                <w:lang w:eastAsia="de-DE"/>
              </w:rPr>
            </w:pPr>
          </w:p>
        </w:tc>
      </w:tr>
      <w:tr w:rsidR="00486378" w:rsidRPr="00C2485E" w14:paraId="18094A52"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B7E9A4" w14:textId="77777777" w:rsidR="00486378" w:rsidRPr="00C2485E" w:rsidRDefault="00486378" w:rsidP="0067627D">
            <w:pPr>
              <w:pStyle w:val="BodyText"/>
              <w:rPr>
                <w:sz w:val="16"/>
                <w:szCs w:val="16"/>
                <w:lang w:eastAsia="de-DE"/>
              </w:rPr>
            </w:pPr>
            <w:r w:rsidRPr="00C2485E">
              <w:rPr>
                <w:sz w:val="16"/>
                <w:szCs w:val="16"/>
                <w:lang w:eastAsia="de-DE"/>
              </w:rPr>
              <w:t>4</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738B2E83" w14:textId="77777777" w:rsidR="00486378" w:rsidRPr="00C2485E" w:rsidRDefault="00486378" w:rsidP="0067627D">
            <w:pPr>
              <w:pStyle w:val="BodyText"/>
              <w:rPr>
                <w:sz w:val="16"/>
                <w:szCs w:val="16"/>
                <w:lang w:eastAsia="de-DE"/>
              </w:rPr>
            </w:pPr>
            <w:r w:rsidRPr="00C2485E">
              <w:rPr>
                <w:sz w:val="16"/>
                <w:szCs w:val="16"/>
                <w:lang w:eastAsia="de-DE"/>
              </w:rPr>
              <w:t>Lieferantenanschrift kurz</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3D84540C" w14:textId="77777777" w:rsidR="00486378" w:rsidRPr="00C2485E" w:rsidRDefault="00486378" w:rsidP="0067627D">
            <w:pPr>
              <w:pStyle w:val="BodyText"/>
              <w:rPr>
                <w:sz w:val="16"/>
                <w:szCs w:val="16"/>
                <w:lang w:eastAsia="de-DE"/>
              </w:rPr>
            </w:pPr>
            <w:r w:rsidRPr="00C2485E">
              <w:rPr>
                <w:sz w:val="16"/>
                <w:szCs w:val="16"/>
                <w:lang w:eastAsia="de-DE"/>
              </w:rPr>
              <w:t>M</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18991EF6"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45458B99" w14:textId="77777777" w:rsidR="00486378" w:rsidRPr="00C2485E" w:rsidRDefault="00486378" w:rsidP="0067627D">
            <w:pPr>
              <w:pStyle w:val="BodyText"/>
              <w:rPr>
                <w:sz w:val="16"/>
                <w:szCs w:val="16"/>
                <w:lang w:eastAsia="de-DE"/>
              </w:rPr>
            </w:pPr>
          </w:p>
        </w:tc>
      </w:tr>
      <w:tr w:rsidR="00486378" w:rsidRPr="00C2485E" w14:paraId="3445B0FA"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74E82F" w14:textId="77777777" w:rsidR="00486378" w:rsidRPr="00C2485E" w:rsidRDefault="00486378" w:rsidP="0067627D">
            <w:pPr>
              <w:pStyle w:val="BodyText"/>
              <w:rPr>
                <w:sz w:val="16"/>
                <w:szCs w:val="16"/>
                <w:lang w:eastAsia="de-DE"/>
              </w:rPr>
            </w:pPr>
            <w:r w:rsidRPr="00C2485E">
              <w:rPr>
                <w:sz w:val="16"/>
                <w:szCs w:val="16"/>
                <w:lang w:eastAsia="de-DE"/>
              </w:rPr>
              <w:t>5</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1AFC15FD" w14:textId="77777777" w:rsidR="00486378" w:rsidRPr="00C2485E" w:rsidRDefault="00486378" w:rsidP="0067627D">
            <w:pPr>
              <w:pStyle w:val="BodyText"/>
              <w:rPr>
                <w:sz w:val="16"/>
                <w:szCs w:val="16"/>
                <w:lang w:eastAsia="de-DE"/>
              </w:rPr>
            </w:pPr>
            <w:r w:rsidRPr="00C2485E">
              <w:rPr>
                <w:sz w:val="16"/>
                <w:szCs w:val="16"/>
                <w:lang w:eastAsia="de-DE"/>
              </w:rPr>
              <w:t>Gewicht Netto</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53E44641" w14:textId="77777777" w:rsidR="00486378" w:rsidRPr="00C2485E" w:rsidRDefault="00486378" w:rsidP="0067627D">
            <w:pPr>
              <w:pStyle w:val="BodyText"/>
              <w:rPr>
                <w:sz w:val="16"/>
                <w:szCs w:val="16"/>
                <w:lang w:eastAsia="de-DE"/>
              </w:rPr>
            </w:pPr>
            <w:r w:rsidRPr="00C2485E">
              <w:rPr>
                <w:sz w:val="16"/>
                <w:szCs w:val="16"/>
                <w:lang w:eastAsia="de-DE"/>
              </w:rPr>
              <w:t xml:space="preserve">M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7768000E"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6BD70E1F" w14:textId="77777777" w:rsidR="00486378" w:rsidRPr="00C2485E" w:rsidRDefault="00486378" w:rsidP="0067627D">
            <w:pPr>
              <w:pStyle w:val="BodyText"/>
              <w:rPr>
                <w:sz w:val="16"/>
                <w:szCs w:val="16"/>
                <w:lang w:eastAsia="de-DE"/>
              </w:rPr>
            </w:pPr>
          </w:p>
        </w:tc>
      </w:tr>
      <w:tr w:rsidR="00486378" w:rsidRPr="00C2485E" w14:paraId="276BD48E"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A32815" w14:textId="77777777" w:rsidR="00486378" w:rsidRPr="00C2485E" w:rsidRDefault="00486378" w:rsidP="0067627D">
            <w:pPr>
              <w:pStyle w:val="BodyText"/>
              <w:rPr>
                <w:sz w:val="16"/>
                <w:szCs w:val="16"/>
                <w:lang w:eastAsia="de-DE"/>
              </w:rPr>
            </w:pPr>
            <w:r w:rsidRPr="00C2485E">
              <w:rPr>
                <w:sz w:val="16"/>
                <w:szCs w:val="16"/>
                <w:lang w:eastAsia="de-DE"/>
              </w:rPr>
              <w:t>6</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3E458F7C" w14:textId="77777777" w:rsidR="00486378" w:rsidRPr="00C2485E" w:rsidRDefault="00486378" w:rsidP="0067627D">
            <w:pPr>
              <w:pStyle w:val="BodyText"/>
              <w:rPr>
                <w:sz w:val="16"/>
                <w:szCs w:val="16"/>
                <w:lang w:eastAsia="de-DE"/>
              </w:rPr>
            </w:pPr>
            <w:r w:rsidRPr="00C2485E">
              <w:rPr>
                <w:sz w:val="16"/>
                <w:szCs w:val="16"/>
                <w:lang w:eastAsia="de-DE"/>
              </w:rPr>
              <w:t>Gewicht Brutto</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0D9E6A95" w14:textId="77777777" w:rsidR="00486378" w:rsidRPr="00C2485E" w:rsidRDefault="00486378" w:rsidP="0067627D">
            <w:pPr>
              <w:pStyle w:val="BodyText"/>
              <w:rPr>
                <w:sz w:val="16"/>
                <w:szCs w:val="16"/>
                <w:lang w:eastAsia="de-DE"/>
              </w:rPr>
            </w:pPr>
            <w:r w:rsidRPr="00C2485E">
              <w:rPr>
                <w:sz w:val="16"/>
                <w:szCs w:val="16"/>
                <w:lang w:eastAsia="de-DE"/>
              </w:rPr>
              <w:t xml:space="preserve">M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116B8423"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64B8FA6B" w14:textId="77777777" w:rsidR="00486378" w:rsidRPr="00C2485E" w:rsidRDefault="00486378" w:rsidP="0067627D">
            <w:pPr>
              <w:pStyle w:val="BodyText"/>
              <w:rPr>
                <w:sz w:val="16"/>
                <w:szCs w:val="16"/>
                <w:lang w:eastAsia="de-DE"/>
              </w:rPr>
            </w:pPr>
          </w:p>
        </w:tc>
      </w:tr>
      <w:tr w:rsidR="00486378" w:rsidRPr="00C2485E" w14:paraId="4EC53011"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C624D3" w14:textId="77777777" w:rsidR="00486378" w:rsidRPr="00C2485E" w:rsidRDefault="00486378" w:rsidP="0067627D">
            <w:pPr>
              <w:pStyle w:val="BodyText"/>
              <w:rPr>
                <w:sz w:val="16"/>
                <w:szCs w:val="16"/>
                <w:lang w:eastAsia="de-DE"/>
              </w:rPr>
            </w:pPr>
            <w:r w:rsidRPr="00C2485E">
              <w:rPr>
                <w:sz w:val="16"/>
                <w:szCs w:val="16"/>
                <w:lang w:eastAsia="de-DE"/>
              </w:rPr>
              <w:t>7</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427F994E" w14:textId="77777777" w:rsidR="00486378" w:rsidRPr="00C2485E" w:rsidRDefault="00486378" w:rsidP="0067627D">
            <w:pPr>
              <w:pStyle w:val="BodyText"/>
              <w:rPr>
                <w:sz w:val="16"/>
                <w:szCs w:val="16"/>
                <w:lang w:eastAsia="de-DE"/>
              </w:rPr>
            </w:pPr>
            <w:r w:rsidRPr="00C2485E">
              <w:rPr>
                <w:sz w:val="16"/>
                <w:szCs w:val="16"/>
                <w:lang w:eastAsia="de-DE"/>
              </w:rPr>
              <w:t>Anzahl Packstücke</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3429197B" w14:textId="77777777" w:rsidR="00486378" w:rsidRPr="00C2485E" w:rsidRDefault="00486378" w:rsidP="0067627D">
            <w:pPr>
              <w:pStyle w:val="BodyText"/>
              <w:rPr>
                <w:sz w:val="16"/>
                <w:szCs w:val="16"/>
                <w:lang w:eastAsia="de-DE"/>
              </w:rPr>
            </w:pPr>
            <w:r w:rsidRPr="00C2485E">
              <w:rPr>
                <w:sz w:val="16"/>
                <w:szCs w:val="16"/>
                <w:lang w:eastAsia="de-DE"/>
              </w:rPr>
              <w:t xml:space="preserve">M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27C35CDA"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0CCDD085" w14:textId="77777777" w:rsidR="00486378" w:rsidRPr="00C2485E" w:rsidRDefault="00486378" w:rsidP="0067627D">
            <w:pPr>
              <w:pStyle w:val="BodyText"/>
              <w:rPr>
                <w:sz w:val="16"/>
                <w:szCs w:val="16"/>
                <w:lang w:eastAsia="de-DE"/>
              </w:rPr>
            </w:pPr>
          </w:p>
        </w:tc>
      </w:tr>
      <w:tr w:rsidR="00486378" w:rsidRPr="00C2485E" w14:paraId="1E029BD1"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D1ED64" w14:textId="77777777" w:rsidR="00486378" w:rsidRPr="00C2485E" w:rsidRDefault="00486378" w:rsidP="0067627D">
            <w:pPr>
              <w:pStyle w:val="BodyText"/>
              <w:rPr>
                <w:sz w:val="16"/>
                <w:szCs w:val="16"/>
                <w:lang w:eastAsia="de-DE"/>
              </w:rPr>
            </w:pPr>
            <w:r w:rsidRPr="00C2485E">
              <w:rPr>
                <w:sz w:val="16"/>
                <w:szCs w:val="16"/>
                <w:lang w:eastAsia="de-DE"/>
              </w:rPr>
              <w:t>8</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798D00C6" w14:textId="77777777" w:rsidR="00486378" w:rsidRPr="00C2485E" w:rsidRDefault="00486378" w:rsidP="0067627D">
            <w:pPr>
              <w:pStyle w:val="BodyText"/>
              <w:rPr>
                <w:sz w:val="16"/>
                <w:szCs w:val="16"/>
                <w:lang w:eastAsia="de-DE"/>
              </w:rPr>
            </w:pPr>
            <w:r w:rsidRPr="00C2485E">
              <w:rPr>
                <w:sz w:val="16"/>
                <w:szCs w:val="16"/>
                <w:lang w:eastAsia="de-DE"/>
              </w:rPr>
              <w:t>Sachnummer Kunde</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3163980D" w14:textId="77777777" w:rsidR="00486378" w:rsidRPr="00C2485E" w:rsidRDefault="00486378" w:rsidP="0067627D">
            <w:pPr>
              <w:pStyle w:val="BodyText"/>
              <w:rPr>
                <w:sz w:val="16"/>
                <w:szCs w:val="16"/>
                <w:lang w:eastAsia="de-DE"/>
              </w:rPr>
            </w:pPr>
            <w:r w:rsidRPr="00C2485E">
              <w:rPr>
                <w:sz w:val="16"/>
                <w:szCs w:val="16"/>
                <w:lang w:eastAsia="de-DE"/>
              </w:rPr>
              <w:t xml:space="preserve">M </w:t>
            </w:r>
            <w:r w:rsidRPr="00C2485E">
              <w:rPr>
                <w:sz w:val="16"/>
                <w:szCs w:val="16"/>
                <w:vertAlign w:val="superscript"/>
                <w:lang w:eastAsia="de-DE"/>
              </w:rPr>
              <w:t>2)</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54CD08C2" w14:textId="77777777" w:rsidR="00486378" w:rsidRPr="00C2485E" w:rsidRDefault="00486378" w:rsidP="0067627D">
            <w:pPr>
              <w:pStyle w:val="BodyText"/>
              <w:rPr>
                <w:sz w:val="16"/>
                <w:szCs w:val="16"/>
                <w:lang w:eastAsia="de-DE"/>
              </w:rPr>
            </w:pPr>
            <w:r w:rsidRPr="00C2485E">
              <w:rPr>
                <w:sz w:val="16"/>
                <w:szCs w:val="16"/>
                <w:lang w:eastAsia="de-DE"/>
              </w:rPr>
              <w:t>Ja</w:t>
            </w: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58D5D2BE" w14:textId="77777777" w:rsidR="00486378" w:rsidRPr="00C2485E" w:rsidRDefault="00486378" w:rsidP="0067627D">
            <w:pPr>
              <w:pStyle w:val="BodyText"/>
              <w:rPr>
                <w:sz w:val="16"/>
                <w:szCs w:val="16"/>
                <w:lang w:eastAsia="de-DE"/>
              </w:rPr>
            </w:pPr>
          </w:p>
        </w:tc>
      </w:tr>
      <w:tr w:rsidR="00486378" w:rsidRPr="00C2485E" w14:paraId="1939478A"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205DC4" w14:textId="77777777" w:rsidR="00486378" w:rsidRPr="00C2485E" w:rsidRDefault="00486378" w:rsidP="0067627D">
            <w:pPr>
              <w:pStyle w:val="BodyText"/>
              <w:rPr>
                <w:sz w:val="16"/>
                <w:szCs w:val="16"/>
                <w:lang w:eastAsia="de-DE"/>
              </w:rPr>
            </w:pPr>
            <w:r w:rsidRPr="00C2485E">
              <w:rPr>
                <w:sz w:val="16"/>
                <w:szCs w:val="16"/>
                <w:lang w:eastAsia="de-DE"/>
              </w:rPr>
              <w:t>9</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25BA14ED" w14:textId="77777777" w:rsidR="00486378" w:rsidRPr="00C2485E" w:rsidRDefault="00486378" w:rsidP="0067627D">
            <w:pPr>
              <w:pStyle w:val="BodyText"/>
              <w:rPr>
                <w:sz w:val="16"/>
                <w:szCs w:val="16"/>
                <w:lang w:eastAsia="de-DE"/>
              </w:rPr>
            </w:pPr>
            <w:r w:rsidRPr="00C2485E">
              <w:rPr>
                <w:sz w:val="16"/>
                <w:szCs w:val="16"/>
                <w:lang w:eastAsia="de-DE"/>
              </w:rPr>
              <w:t>Füllmenge (im Packstück)</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6EC19113" w14:textId="77777777" w:rsidR="00486378" w:rsidRPr="00C2485E" w:rsidRDefault="00486378" w:rsidP="0067627D">
            <w:pPr>
              <w:pStyle w:val="BodyText"/>
              <w:rPr>
                <w:sz w:val="16"/>
                <w:szCs w:val="16"/>
                <w:lang w:eastAsia="de-DE"/>
              </w:rPr>
            </w:pPr>
            <w:r w:rsidRPr="00C2485E">
              <w:rPr>
                <w:sz w:val="16"/>
                <w:szCs w:val="16"/>
                <w:lang w:eastAsia="de-DE"/>
              </w:rPr>
              <w:t>M</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12E782F6" w14:textId="77777777" w:rsidR="00486378" w:rsidRPr="00C2485E" w:rsidRDefault="00486378" w:rsidP="0067627D">
            <w:pPr>
              <w:pStyle w:val="BodyText"/>
              <w:rPr>
                <w:sz w:val="16"/>
                <w:szCs w:val="16"/>
                <w:lang w:eastAsia="de-DE"/>
              </w:rPr>
            </w:pPr>
            <w:r w:rsidRPr="00C2485E">
              <w:rPr>
                <w:sz w:val="16"/>
                <w:szCs w:val="16"/>
                <w:lang w:eastAsia="de-DE"/>
              </w:rPr>
              <w:t>Ja</w:t>
            </w: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5697D0FC" w14:textId="77777777" w:rsidR="00486378" w:rsidRPr="00C2485E" w:rsidRDefault="00486378" w:rsidP="0067627D">
            <w:pPr>
              <w:pStyle w:val="BodyText"/>
              <w:rPr>
                <w:sz w:val="16"/>
                <w:szCs w:val="16"/>
                <w:lang w:eastAsia="de-DE"/>
              </w:rPr>
            </w:pPr>
          </w:p>
        </w:tc>
      </w:tr>
      <w:tr w:rsidR="00486378" w:rsidRPr="00C2485E" w14:paraId="494846B6"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7A3380" w14:textId="77777777" w:rsidR="00486378" w:rsidRPr="00C2485E" w:rsidRDefault="00486378" w:rsidP="0067627D">
            <w:pPr>
              <w:pStyle w:val="BodyText"/>
              <w:rPr>
                <w:sz w:val="16"/>
                <w:szCs w:val="16"/>
                <w:lang w:eastAsia="de-DE"/>
              </w:rPr>
            </w:pPr>
            <w:r w:rsidRPr="00C2485E">
              <w:rPr>
                <w:sz w:val="16"/>
                <w:szCs w:val="16"/>
                <w:lang w:eastAsia="de-DE"/>
              </w:rPr>
              <w:t>10</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7C16A271" w14:textId="77777777" w:rsidR="00486378" w:rsidRPr="00C2485E" w:rsidRDefault="00486378" w:rsidP="0067627D">
            <w:pPr>
              <w:pStyle w:val="BodyText"/>
              <w:rPr>
                <w:sz w:val="16"/>
                <w:szCs w:val="16"/>
                <w:lang w:eastAsia="de-DE"/>
              </w:rPr>
            </w:pPr>
            <w:r w:rsidRPr="00C2485E">
              <w:rPr>
                <w:sz w:val="16"/>
                <w:szCs w:val="16"/>
                <w:lang w:eastAsia="de-DE"/>
              </w:rPr>
              <w:t>Bezeichnung, Lieferung, Leistung</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0B62CD4E" w14:textId="77777777" w:rsidR="00486378" w:rsidRPr="00C2485E" w:rsidRDefault="00486378" w:rsidP="0067627D">
            <w:pPr>
              <w:pStyle w:val="BodyText"/>
              <w:rPr>
                <w:sz w:val="16"/>
                <w:szCs w:val="16"/>
                <w:lang w:eastAsia="de-DE"/>
              </w:rPr>
            </w:pPr>
            <w:r w:rsidRPr="00C2485E">
              <w:rPr>
                <w:sz w:val="16"/>
                <w:szCs w:val="16"/>
                <w:lang w:eastAsia="de-DE"/>
              </w:rPr>
              <w:t>M</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686ACD60"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6455C3E0" w14:textId="77777777" w:rsidR="00486378" w:rsidRPr="00C2485E" w:rsidRDefault="00486378" w:rsidP="0067627D">
            <w:pPr>
              <w:pStyle w:val="BodyText"/>
              <w:rPr>
                <w:sz w:val="16"/>
                <w:szCs w:val="16"/>
                <w:lang w:eastAsia="de-DE"/>
              </w:rPr>
            </w:pPr>
          </w:p>
        </w:tc>
      </w:tr>
      <w:tr w:rsidR="00486378" w:rsidRPr="00C2485E" w14:paraId="206A8917"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CD81E4" w14:textId="77777777" w:rsidR="00486378" w:rsidRPr="00C2485E" w:rsidRDefault="00486378" w:rsidP="0067627D">
            <w:pPr>
              <w:pStyle w:val="BodyText"/>
              <w:rPr>
                <w:sz w:val="16"/>
                <w:szCs w:val="16"/>
                <w:lang w:eastAsia="de-DE"/>
              </w:rPr>
            </w:pPr>
            <w:r w:rsidRPr="00C2485E">
              <w:rPr>
                <w:sz w:val="16"/>
                <w:szCs w:val="16"/>
                <w:lang w:eastAsia="de-DE"/>
              </w:rPr>
              <w:t>11.1</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0AFCF680" w14:textId="77777777" w:rsidR="00486378" w:rsidRPr="00C2485E" w:rsidRDefault="00486378" w:rsidP="0067627D">
            <w:pPr>
              <w:pStyle w:val="BodyText"/>
              <w:rPr>
                <w:sz w:val="16"/>
                <w:szCs w:val="16"/>
                <w:lang w:eastAsia="de-DE"/>
              </w:rPr>
            </w:pPr>
            <w:r w:rsidRPr="00C2485E">
              <w:rPr>
                <w:sz w:val="16"/>
                <w:szCs w:val="16"/>
                <w:lang w:eastAsia="de-DE"/>
              </w:rPr>
              <w:t>Sachnummer Lieferant</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25894AEB" w14:textId="77777777" w:rsidR="00486378" w:rsidRPr="00C2485E" w:rsidRDefault="00486378" w:rsidP="0067627D">
            <w:pPr>
              <w:pStyle w:val="BodyText"/>
              <w:rPr>
                <w:sz w:val="16"/>
                <w:szCs w:val="16"/>
                <w:lang w:eastAsia="de-DE"/>
              </w:rPr>
            </w:pPr>
            <w:r w:rsidRPr="00C2485E">
              <w:rPr>
                <w:sz w:val="16"/>
                <w:szCs w:val="16"/>
                <w:lang w:eastAsia="de-DE"/>
              </w:rPr>
              <w:t>K</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1F0BD89D"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2481BE34" w14:textId="77777777" w:rsidR="00486378" w:rsidRPr="00C2485E" w:rsidRDefault="00486378" w:rsidP="0067627D">
            <w:pPr>
              <w:pStyle w:val="BodyText"/>
              <w:rPr>
                <w:sz w:val="16"/>
                <w:szCs w:val="16"/>
                <w:lang w:eastAsia="de-DE"/>
              </w:rPr>
            </w:pPr>
          </w:p>
        </w:tc>
      </w:tr>
      <w:tr w:rsidR="00486378" w:rsidRPr="00C2485E" w14:paraId="58B7AAA8" w14:textId="77777777" w:rsidTr="00A008FA">
        <w:tc>
          <w:tcPr>
            <w:tcW w:w="648" w:type="dxa"/>
            <w:tcBorders>
              <w:top w:val="nil"/>
              <w:left w:val="single" w:sz="8" w:space="0" w:color="000000"/>
              <w:right w:val="single" w:sz="8" w:space="0" w:color="000000"/>
            </w:tcBorders>
            <w:tcMar>
              <w:top w:w="0" w:type="dxa"/>
              <w:left w:w="108" w:type="dxa"/>
              <w:bottom w:w="0" w:type="dxa"/>
              <w:right w:w="108" w:type="dxa"/>
            </w:tcMar>
          </w:tcPr>
          <w:p w14:paraId="3219F3AD" w14:textId="77777777" w:rsidR="00486378" w:rsidRPr="00C2485E" w:rsidRDefault="00486378" w:rsidP="0067627D">
            <w:pPr>
              <w:pStyle w:val="BodyText"/>
              <w:rPr>
                <w:sz w:val="16"/>
                <w:szCs w:val="16"/>
                <w:lang w:eastAsia="de-DE"/>
              </w:rPr>
            </w:pPr>
            <w:r w:rsidRPr="00C2485E">
              <w:rPr>
                <w:sz w:val="16"/>
                <w:szCs w:val="16"/>
                <w:lang w:eastAsia="de-DE"/>
              </w:rPr>
              <w:t>11.2</w:t>
            </w:r>
          </w:p>
        </w:tc>
        <w:tc>
          <w:tcPr>
            <w:tcW w:w="3600" w:type="dxa"/>
            <w:tcBorders>
              <w:top w:val="nil"/>
              <w:left w:val="nil"/>
              <w:right w:val="single" w:sz="8" w:space="0" w:color="000000"/>
            </w:tcBorders>
            <w:tcMar>
              <w:top w:w="0" w:type="dxa"/>
              <w:left w:w="108" w:type="dxa"/>
              <w:bottom w:w="0" w:type="dxa"/>
              <w:right w:w="108" w:type="dxa"/>
            </w:tcMar>
          </w:tcPr>
          <w:p w14:paraId="28A5EFCB" w14:textId="77777777" w:rsidR="00486378" w:rsidRPr="00C2485E" w:rsidRDefault="00486378" w:rsidP="0067627D">
            <w:pPr>
              <w:pStyle w:val="BodyText"/>
              <w:rPr>
                <w:sz w:val="16"/>
                <w:szCs w:val="16"/>
                <w:lang w:eastAsia="de-DE"/>
              </w:rPr>
            </w:pPr>
            <w:r w:rsidRPr="00C2485E">
              <w:rPr>
                <w:sz w:val="16"/>
                <w:szCs w:val="16"/>
                <w:lang w:eastAsia="de-DE"/>
              </w:rPr>
              <w:t>Verpackungssachnummer</w:t>
            </w:r>
          </w:p>
        </w:tc>
        <w:tc>
          <w:tcPr>
            <w:tcW w:w="900" w:type="dxa"/>
            <w:tcBorders>
              <w:top w:val="nil"/>
              <w:left w:val="nil"/>
              <w:right w:val="single" w:sz="8" w:space="0" w:color="000000"/>
            </w:tcBorders>
            <w:tcMar>
              <w:top w:w="0" w:type="dxa"/>
              <w:left w:w="108" w:type="dxa"/>
              <w:bottom w:w="0" w:type="dxa"/>
              <w:right w:w="108" w:type="dxa"/>
            </w:tcMar>
          </w:tcPr>
          <w:p w14:paraId="00ECFE37" w14:textId="77777777" w:rsidR="00486378" w:rsidRPr="00C2485E" w:rsidRDefault="00486378" w:rsidP="0067627D">
            <w:pPr>
              <w:pStyle w:val="BodyText"/>
              <w:rPr>
                <w:sz w:val="16"/>
                <w:szCs w:val="16"/>
                <w:lang w:eastAsia="de-DE"/>
              </w:rPr>
            </w:pPr>
            <w:r w:rsidRPr="00C2485E">
              <w:rPr>
                <w:sz w:val="16"/>
                <w:szCs w:val="16"/>
                <w:lang w:eastAsia="de-DE"/>
              </w:rPr>
              <w:t>K</w:t>
            </w:r>
          </w:p>
        </w:tc>
        <w:tc>
          <w:tcPr>
            <w:tcW w:w="1260" w:type="dxa"/>
            <w:tcBorders>
              <w:top w:val="nil"/>
              <w:left w:val="nil"/>
              <w:right w:val="single" w:sz="8" w:space="0" w:color="000000"/>
            </w:tcBorders>
            <w:tcMar>
              <w:top w:w="0" w:type="dxa"/>
              <w:left w:w="108" w:type="dxa"/>
              <w:bottom w:w="0" w:type="dxa"/>
              <w:right w:w="108" w:type="dxa"/>
            </w:tcMar>
          </w:tcPr>
          <w:p w14:paraId="1EE131B0" w14:textId="77777777" w:rsidR="00486378" w:rsidRPr="00C2485E" w:rsidRDefault="00486378" w:rsidP="0067627D">
            <w:pPr>
              <w:pStyle w:val="BodyText"/>
              <w:rPr>
                <w:sz w:val="16"/>
                <w:szCs w:val="16"/>
                <w:lang w:eastAsia="de-DE"/>
              </w:rPr>
            </w:pPr>
          </w:p>
        </w:tc>
        <w:tc>
          <w:tcPr>
            <w:tcW w:w="2596" w:type="dxa"/>
            <w:tcBorders>
              <w:top w:val="nil"/>
              <w:left w:val="nil"/>
              <w:right w:val="single" w:sz="8" w:space="0" w:color="000000"/>
            </w:tcBorders>
            <w:tcMar>
              <w:top w:w="0" w:type="dxa"/>
              <w:left w:w="108" w:type="dxa"/>
              <w:bottom w:w="0" w:type="dxa"/>
              <w:right w:w="108" w:type="dxa"/>
            </w:tcMar>
          </w:tcPr>
          <w:p w14:paraId="403BFF23" w14:textId="77777777" w:rsidR="00486378" w:rsidRPr="00C2485E" w:rsidRDefault="00486378" w:rsidP="0067627D">
            <w:pPr>
              <w:pStyle w:val="BodyText"/>
              <w:rPr>
                <w:sz w:val="16"/>
                <w:szCs w:val="16"/>
                <w:lang w:eastAsia="de-DE"/>
              </w:rPr>
            </w:pPr>
          </w:p>
        </w:tc>
      </w:tr>
      <w:tr w:rsidR="00486378" w:rsidRPr="00C2485E" w14:paraId="27F634C7" w14:textId="77777777" w:rsidTr="00A008FA">
        <w:tc>
          <w:tcPr>
            <w:tcW w:w="648" w:type="dxa"/>
            <w:tcBorders>
              <w:left w:val="single" w:sz="8" w:space="0" w:color="000000"/>
              <w:bottom w:val="single" w:sz="8" w:space="0" w:color="000000"/>
              <w:right w:val="single" w:sz="8" w:space="0" w:color="000000"/>
            </w:tcBorders>
            <w:tcMar>
              <w:top w:w="0" w:type="dxa"/>
              <w:left w:w="108" w:type="dxa"/>
              <w:bottom w:w="0" w:type="dxa"/>
              <w:right w:w="108" w:type="dxa"/>
            </w:tcMar>
          </w:tcPr>
          <w:p w14:paraId="191AD563" w14:textId="77777777" w:rsidR="00486378" w:rsidRPr="00C2485E" w:rsidRDefault="00486378" w:rsidP="0067627D">
            <w:pPr>
              <w:pStyle w:val="BodyText"/>
              <w:rPr>
                <w:sz w:val="16"/>
                <w:szCs w:val="16"/>
                <w:lang w:eastAsia="de-DE"/>
              </w:rPr>
            </w:pPr>
            <w:r w:rsidRPr="00C2485E">
              <w:rPr>
                <w:sz w:val="16"/>
                <w:szCs w:val="16"/>
                <w:lang w:eastAsia="de-DE"/>
              </w:rPr>
              <w:t>12</w:t>
            </w:r>
          </w:p>
        </w:tc>
        <w:tc>
          <w:tcPr>
            <w:tcW w:w="3600" w:type="dxa"/>
            <w:tcBorders>
              <w:left w:val="nil"/>
              <w:bottom w:val="single" w:sz="8" w:space="0" w:color="000000"/>
              <w:right w:val="single" w:sz="8" w:space="0" w:color="000000"/>
            </w:tcBorders>
            <w:tcMar>
              <w:top w:w="0" w:type="dxa"/>
              <w:left w:w="108" w:type="dxa"/>
              <w:bottom w:w="0" w:type="dxa"/>
              <w:right w:w="108" w:type="dxa"/>
            </w:tcMar>
          </w:tcPr>
          <w:p w14:paraId="3578EF16" w14:textId="77777777" w:rsidR="00486378" w:rsidRPr="00C2485E" w:rsidRDefault="00486378" w:rsidP="0067627D">
            <w:pPr>
              <w:pStyle w:val="BodyText"/>
              <w:rPr>
                <w:sz w:val="16"/>
                <w:szCs w:val="16"/>
                <w:lang w:eastAsia="de-DE"/>
              </w:rPr>
            </w:pPr>
            <w:r w:rsidRPr="00C2485E">
              <w:rPr>
                <w:sz w:val="16"/>
                <w:szCs w:val="16"/>
                <w:lang w:eastAsia="de-DE"/>
              </w:rPr>
              <w:t>Lieferantennummer</w:t>
            </w:r>
          </w:p>
        </w:tc>
        <w:tc>
          <w:tcPr>
            <w:tcW w:w="900" w:type="dxa"/>
            <w:tcBorders>
              <w:left w:val="nil"/>
              <w:bottom w:val="single" w:sz="8" w:space="0" w:color="000000"/>
              <w:right w:val="single" w:sz="8" w:space="0" w:color="000000"/>
            </w:tcBorders>
            <w:tcMar>
              <w:top w:w="0" w:type="dxa"/>
              <w:left w:w="108" w:type="dxa"/>
              <w:bottom w:w="0" w:type="dxa"/>
              <w:right w:w="108" w:type="dxa"/>
            </w:tcMar>
          </w:tcPr>
          <w:p w14:paraId="7B78FAB3" w14:textId="77777777" w:rsidR="00486378" w:rsidRPr="00C2485E" w:rsidRDefault="00486378" w:rsidP="0067627D">
            <w:pPr>
              <w:pStyle w:val="BodyText"/>
              <w:rPr>
                <w:sz w:val="16"/>
                <w:szCs w:val="16"/>
                <w:lang w:eastAsia="de-DE"/>
              </w:rPr>
            </w:pPr>
            <w:r w:rsidRPr="00C2485E">
              <w:rPr>
                <w:sz w:val="16"/>
                <w:szCs w:val="16"/>
                <w:lang w:eastAsia="de-DE"/>
              </w:rPr>
              <w:t>M</w:t>
            </w:r>
          </w:p>
        </w:tc>
        <w:tc>
          <w:tcPr>
            <w:tcW w:w="1260" w:type="dxa"/>
            <w:tcBorders>
              <w:left w:val="nil"/>
              <w:bottom w:val="single" w:sz="8" w:space="0" w:color="000000"/>
              <w:right w:val="single" w:sz="8" w:space="0" w:color="000000"/>
            </w:tcBorders>
            <w:tcMar>
              <w:top w:w="0" w:type="dxa"/>
              <w:left w:w="108" w:type="dxa"/>
              <w:bottom w:w="0" w:type="dxa"/>
              <w:right w:w="108" w:type="dxa"/>
            </w:tcMar>
          </w:tcPr>
          <w:p w14:paraId="6B36B1D1" w14:textId="77777777" w:rsidR="00486378" w:rsidRPr="00C2485E" w:rsidRDefault="00486378" w:rsidP="0067627D">
            <w:pPr>
              <w:pStyle w:val="BodyText"/>
              <w:rPr>
                <w:sz w:val="16"/>
                <w:szCs w:val="16"/>
                <w:lang w:eastAsia="de-DE"/>
              </w:rPr>
            </w:pPr>
            <w:r w:rsidRPr="00C2485E">
              <w:rPr>
                <w:sz w:val="16"/>
                <w:szCs w:val="16"/>
                <w:lang w:eastAsia="de-DE"/>
              </w:rPr>
              <w:t>Ja</w:t>
            </w:r>
          </w:p>
        </w:tc>
        <w:tc>
          <w:tcPr>
            <w:tcW w:w="2596" w:type="dxa"/>
            <w:tcBorders>
              <w:left w:val="nil"/>
              <w:bottom w:val="single" w:sz="8" w:space="0" w:color="000000"/>
              <w:right w:val="single" w:sz="8" w:space="0" w:color="000000"/>
            </w:tcBorders>
            <w:tcMar>
              <w:top w:w="0" w:type="dxa"/>
              <w:left w:w="108" w:type="dxa"/>
              <w:bottom w:w="0" w:type="dxa"/>
              <w:right w:w="108" w:type="dxa"/>
            </w:tcMar>
          </w:tcPr>
          <w:p w14:paraId="2C508475" w14:textId="77777777" w:rsidR="00486378" w:rsidRPr="00C2485E" w:rsidRDefault="00486378" w:rsidP="0067627D">
            <w:pPr>
              <w:pStyle w:val="BodyText"/>
              <w:rPr>
                <w:sz w:val="16"/>
                <w:szCs w:val="16"/>
                <w:lang w:eastAsia="de-DE"/>
              </w:rPr>
            </w:pPr>
          </w:p>
        </w:tc>
      </w:tr>
      <w:tr w:rsidR="00486378" w:rsidRPr="00C2485E" w14:paraId="5070B1CB"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537995" w14:textId="77777777" w:rsidR="00486378" w:rsidRPr="00C2485E" w:rsidRDefault="00486378" w:rsidP="0067627D">
            <w:pPr>
              <w:pStyle w:val="BodyText"/>
              <w:rPr>
                <w:sz w:val="16"/>
                <w:szCs w:val="16"/>
                <w:lang w:eastAsia="de-DE"/>
              </w:rPr>
            </w:pPr>
            <w:r w:rsidRPr="00C2485E">
              <w:rPr>
                <w:sz w:val="16"/>
                <w:szCs w:val="16"/>
                <w:lang w:eastAsia="de-DE"/>
              </w:rPr>
              <w:t>13</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3C6C00F3" w14:textId="77777777" w:rsidR="00486378" w:rsidRPr="00C2485E" w:rsidRDefault="00486378" w:rsidP="0067627D">
            <w:pPr>
              <w:pStyle w:val="BodyText"/>
              <w:rPr>
                <w:sz w:val="16"/>
                <w:szCs w:val="16"/>
                <w:lang w:eastAsia="de-DE"/>
              </w:rPr>
            </w:pPr>
            <w:r w:rsidRPr="00C2485E">
              <w:rPr>
                <w:sz w:val="16"/>
                <w:szCs w:val="16"/>
                <w:lang w:eastAsia="de-DE"/>
              </w:rPr>
              <w:t>Datum</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166D507B" w14:textId="77777777" w:rsidR="00486378" w:rsidRPr="00C2485E" w:rsidRDefault="00486378" w:rsidP="0067627D">
            <w:pPr>
              <w:pStyle w:val="BodyText"/>
              <w:rPr>
                <w:sz w:val="16"/>
                <w:szCs w:val="16"/>
                <w:lang w:eastAsia="de-DE"/>
              </w:rPr>
            </w:pPr>
            <w:r w:rsidRPr="00C2485E">
              <w:rPr>
                <w:sz w:val="16"/>
                <w:szCs w:val="16"/>
                <w:lang w:eastAsia="de-DE"/>
              </w:rPr>
              <w:t xml:space="preserve">M </w:t>
            </w:r>
            <w:r w:rsidRPr="00C2485E">
              <w:rPr>
                <w:sz w:val="16"/>
                <w:szCs w:val="16"/>
                <w:vertAlign w:val="superscript"/>
                <w:lang w:eastAsia="de-DE"/>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7AB54F3A"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18AD6E64" w14:textId="77777777" w:rsidR="00486378" w:rsidRPr="00C2485E" w:rsidRDefault="00486378" w:rsidP="0067627D">
            <w:pPr>
              <w:pStyle w:val="BodyText"/>
              <w:rPr>
                <w:sz w:val="16"/>
                <w:szCs w:val="16"/>
                <w:lang w:eastAsia="de-DE"/>
              </w:rPr>
            </w:pPr>
          </w:p>
        </w:tc>
      </w:tr>
      <w:tr w:rsidR="00486378" w:rsidRPr="00C2485E" w14:paraId="05246D01"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618CD2" w14:textId="77777777" w:rsidR="00486378" w:rsidRPr="00C2485E" w:rsidRDefault="00486378" w:rsidP="0067627D">
            <w:pPr>
              <w:pStyle w:val="BodyText"/>
              <w:rPr>
                <w:sz w:val="16"/>
                <w:szCs w:val="16"/>
                <w:lang w:eastAsia="de-DE"/>
              </w:rPr>
            </w:pPr>
            <w:r w:rsidRPr="00C2485E">
              <w:rPr>
                <w:sz w:val="16"/>
                <w:szCs w:val="16"/>
                <w:lang w:eastAsia="de-DE"/>
              </w:rPr>
              <w:t>14</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4F64001F" w14:textId="77777777" w:rsidR="00486378" w:rsidRPr="00C2485E" w:rsidRDefault="00486378" w:rsidP="0067627D">
            <w:pPr>
              <w:pStyle w:val="BodyText"/>
              <w:rPr>
                <w:sz w:val="16"/>
                <w:szCs w:val="16"/>
                <w:lang w:eastAsia="de-DE"/>
              </w:rPr>
            </w:pPr>
            <w:r w:rsidRPr="00C2485E">
              <w:rPr>
                <w:sz w:val="16"/>
                <w:szCs w:val="16"/>
                <w:lang w:eastAsia="de-DE"/>
              </w:rPr>
              <w:t>Änderungsstand</w:t>
            </w:r>
          </w:p>
          <w:p w14:paraId="4A658911" w14:textId="77777777" w:rsidR="00486378" w:rsidRPr="00C2485E" w:rsidRDefault="00486378" w:rsidP="0067627D">
            <w:pPr>
              <w:pStyle w:val="BodyText"/>
              <w:rPr>
                <w:sz w:val="16"/>
                <w:szCs w:val="16"/>
                <w:lang w:eastAsia="de-DE"/>
              </w:rPr>
            </w:pPr>
            <w:r w:rsidRPr="00C2485E">
              <w:rPr>
                <w:sz w:val="16"/>
                <w:szCs w:val="16"/>
                <w:lang w:eastAsia="de-DE"/>
              </w:rPr>
              <w:t>Konstruktionstand</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344828EB" w14:textId="77777777" w:rsidR="00486378" w:rsidRPr="00C2485E" w:rsidRDefault="00486378" w:rsidP="0067627D">
            <w:pPr>
              <w:pStyle w:val="BodyText"/>
              <w:rPr>
                <w:sz w:val="16"/>
                <w:szCs w:val="16"/>
                <w:lang w:eastAsia="de-DE"/>
              </w:rPr>
            </w:pPr>
            <w:r w:rsidRPr="00C2485E">
              <w:rPr>
                <w:sz w:val="16"/>
                <w:szCs w:val="16"/>
                <w:lang w:eastAsia="de-DE"/>
              </w:rPr>
              <w:t xml:space="preserve">M </w:t>
            </w:r>
            <w:r w:rsidRPr="00C2485E">
              <w:rPr>
                <w:sz w:val="16"/>
                <w:szCs w:val="16"/>
                <w:vertAlign w:val="superscript"/>
                <w:lang w:eastAsia="de-DE"/>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4F568DBF"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4688B213" w14:textId="77777777" w:rsidR="00486378" w:rsidRPr="00C2485E" w:rsidRDefault="00486378" w:rsidP="0067627D">
            <w:pPr>
              <w:pStyle w:val="BodyText"/>
              <w:rPr>
                <w:sz w:val="16"/>
                <w:szCs w:val="16"/>
                <w:lang w:eastAsia="de-DE"/>
              </w:rPr>
            </w:pPr>
          </w:p>
        </w:tc>
      </w:tr>
      <w:tr w:rsidR="00486378" w:rsidRPr="00C2485E" w14:paraId="23075852"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767AA1" w14:textId="77777777" w:rsidR="00486378" w:rsidRPr="00C2485E" w:rsidRDefault="00486378" w:rsidP="0067627D">
            <w:pPr>
              <w:pStyle w:val="BodyText"/>
              <w:rPr>
                <w:sz w:val="16"/>
                <w:szCs w:val="16"/>
                <w:lang w:eastAsia="de-DE"/>
              </w:rPr>
            </w:pPr>
            <w:r w:rsidRPr="00C2485E">
              <w:rPr>
                <w:sz w:val="16"/>
                <w:szCs w:val="16"/>
                <w:lang w:eastAsia="de-DE"/>
              </w:rPr>
              <w:t>15</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194B6655" w14:textId="77777777" w:rsidR="00486378" w:rsidRPr="00C2485E" w:rsidRDefault="00486378" w:rsidP="0067627D">
            <w:pPr>
              <w:pStyle w:val="BodyText"/>
              <w:rPr>
                <w:sz w:val="16"/>
                <w:szCs w:val="16"/>
                <w:lang w:eastAsia="de-DE"/>
              </w:rPr>
            </w:pPr>
            <w:r w:rsidRPr="00C2485E">
              <w:rPr>
                <w:sz w:val="16"/>
                <w:szCs w:val="16"/>
                <w:lang w:eastAsia="de-DE"/>
              </w:rPr>
              <w:t>Packstücknummer</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7CA1774F" w14:textId="77777777" w:rsidR="00486378" w:rsidRPr="00C2485E" w:rsidRDefault="00486378" w:rsidP="0067627D">
            <w:pPr>
              <w:pStyle w:val="BodyText"/>
              <w:rPr>
                <w:sz w:val="16"/>
                <w:szCs w:val="16"/>
                <w:lang w:eastAsia="de-DE"/>
              </w:rPr>
            </w:pPr>
            <w:r w:rsidRPr="00C2485E">
              <w:rPr>
                <w:sz w:val="16"/>
                <w:szCs w:val="16"/>
                <w:lang w:eastAsia="de-DE"/>
              </w:rPr>
              <w:t xml:space="preserve">M </w:t>
            </w:r>
            <w:r w:rsidRPr="00C2485E">
              <w:rPr>
                <w:sz w:val="16"/>
                <w:szCs w:val="16"/>
                <w:vertAlign w:val="superscript"/>
                <w:lang w:eastAsia="de-DE"/>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596B06E3" w14:textId="77777777" w:rsidR="00486378" w:rsidRPr="00C2485E" w:rsidRDefault="00486378" w:rsidP="0067627D">
            <w:pPr>
              <w:pStyle w:val="BodyText"/>
              <w:rPr>
                <w:sz w:val="16"/>
                <w:szCs w:val="16"/>
                <w:lang w:eastAsia="de-DE"/>
              </w:rPr>
            </w:pPr>
            <w:r w:rsidRPr="00C2485E">
              <w:rPr>
                <w:sz w:val="16"/>
                <w:szCs w:val="16"/>
                <w:lang w:eastAsia="de-DE"/>
              </w:rPr>
              <w:t>Ja</w:t>
            </w: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79F40F99" w14:textId="77777777" w:rsidR="00486378" w:rsidRPr="00C2485E" w:rsidRDefault="00486378" w:rsidP="0067627D">
            <w:pPr>
              <w:pStyle w:val="BodyText"/>
              <w:rPr>
                <w:sz w:val="16"/>
                <w:szCs w:val="16"/>
                <w:lang w:eastAsia="de-DE"/>
              </w:rPr>
            </w:pPr>
          </w:p>
        </w:tc>
      </w:tr>
      <w:tr w:rsidR="00486378" w:rsidRPr="00C2485E" w14:paraId="4DD820A4"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D3FF74" w14:textId="77777777" w:rsidR="00486378" w:rsidRPr="00C2485E" w:rsidRDefault="00486378" w:rsidP="0067627D">
            <w:pPr>
              <w:pStyle w:val="BodyText"/>
              <w:rPr>
                <w:sz w:val="16"/>
                <w:szCs w:val="16"/>
                <w:lang w:eastAsia="de-DE"/>
              </w:rPr>
            </w:pPr>
            <w:r w:rsidRPr="00C2485E">
              <w:rPr>
                <w:sz w:val="16"/>
                <w:szCs w:val="16"/>
                <w:lang w:eastAsia="de-DE"/>
              </w:rPr>
              <w:t>16</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3EFBF1C9" w14:textId="77777777" w:rsidR="00486378" w:rsidRPr="00C2485E" w:rsidRDefault="00486378" w:rsidP="0067627D">
            <w:pPr>
              <w:pStyle w:val="BodyText"/>
              <w:rPr>
                <w:sz w:val="16"/>
                <w:szCs w:val="16"/>
                <w:lang w:eastAsia="de-DE"/>
              </w:rPr>
            </w:pPr>
            <w:r w:rsidRPr="00C2485E">
              <w:rPr>
                <w:sz w:val="16"/>
                <w:szCs w:val="16"/>
                <w:lang w:eastAsia="de-DE"/>
              </w:rPr>
              <w:t>Chargennummer</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6277948B" w14:textId="77777777" w:rsidR="00486378" w:rsidRPr="00C2485E" w:rsidRDefault="00486378" w:rsidP="0067627D">
            <w:pPr>
              <w:pStyle w:val="BodyText"/>
              <w:rPr>
                <w:sz w:val="16"/>
                <w:szCs w:val="16"/>
                <w:lang w:eastAsia="de-DE"/>
              </w:rPr>
            </w:pPr>
            <w:r w:rsidRPr="00C2485E">
              <w:rPr>
                <w:sz w:val="16"/>
                <w:szCs w:val="16"/>
                <w:lang w:eastAsia="de-DE"/>
              </w:rPr>
              <w:t xml:space="preserve">M </w:t>
            </w:r>
            <w:r w:rsidRPr="00C2485E">
              <w:rPr>
                <w:sz w:val="16"/>
                <w:szCs w:val="16"/>
                <w:vertAlign w:val="superscript"/>
                <w:lang w:eastAsia="de-DE"/>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208A8140" w14:textId="77777777" w:rsidR="00486378" w:rsidRPr="00C2485E" w:rsidRDefault="00486378" w:rsidP="0067627D">
            <w:pPr>
              <w:pStyle w:val="BodyText"/>
              <w:rPr>
                <w:sz w:val="16"/>
                <w:szCs w:val="16"/>
                <w:lang w:eastAsia="de-DE"/>
              </w:rPr>
            </w:pPr>
            <w:r w:rsidRPr="00C2485E">
              <w:rPr>
                <w:sz w:val="16"/>
                <w:szCs w:val="16"/>
                <w:lang w:eastAsia="de-DE"/>
              </w:rPr>
              <w:t>Ja</w:t>
            </w: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7C8D252D" w14:textId="77777777" w:rsidR="00486378" w:rsidRPr="00C2485E" w:rsidRDefault="007C7C16" w:rsidP="0067627D">
            <w:pPr>
              <w:pStyle w:val="BodyText"/>
              <w:rPr>
                <w:sz w:val="16"/>
                <w:szCs w:val="16"/>
                <w:lang w:eastAsia="de-DE"/>
              </w:rPr>
            </w:pPr>
            <w:r w:rsidRPr="00C2485E">
              <w:rPr>
                <w:sz w:val="16"/>
                <w:szCs w:val="16"/>
                <w:lang w:eastAsia="de-DE"/>
              </w:rPr>
              <w:t xml:space="preserve">Bei </w:t>
            </w:r>
            <w:r w:rsidR="00486378" w:rsidRPr="00C2485E">
              <w:rPr>
                <w:sz w:val="16"/>
                <w:szCs w:val="16"/>
                <w:lang w:eastAsia="de-DE"/>
              </w:rPr>
              <w:t>chargenpflichtigen Teilen</w:t>
            </w:r>
          </w:p>
        </w:tc>
      </w:tr>
      <w:tr w:rsidR="00486378" w:rsidRPr="00C2485E" w14:paraId="56503E80" w14:textId="77777777" w:rsidTr="00A008FA">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68FFA1" w14:textId="77777777" w:rsidR="00486378" w:rsidRPr="00C2485E" w:rsidRDefault="00486378" w:rsidP="0067627D">
            <w:pPr>
              <w:pStyle w:val="BodyText"/>
              <w:rPr>
                <w:sz w:val="16"/>
                <w:szCs w:val="16"/>
                <w:lang w:eastAsia="de-DE"/>
              </w:rPr>
            </w:pPr>
            <w:r w:rsidRPr="00C2485E">
              <w:rPr>
                <w:sz w:val="16"/>
                <w:szCs w:val="16"/>
                <w:lang w:eastAsia="de-DE"/>
              </w:rPr>
              <w:t>17</w:t>
            </w:r>
          </w:p>
        </w:tc>
        <w:tc>
          <w:tcPr>
            <w:tcW w:w="3600" w:type="dxa"/>
            <w:tcBorders>
              <w:top w:val="nil"/>
              <w:left w:val="nil"/>
              <w:bottom w:val="single" w:sz="8" w:space="0" w:color="000000"/>
              <w:right w:val="single" w:sz="8" w:space="0" w:color="000000"/>
            </w:tcBorders>
            <w:tcMar>
              <w:top w:w="0" w:type="dxa"/>
              <w:left w:w="108" w:type="dxa"/>
              <w:bottom w:w="0" w:type="dxa"/>
              <w:right w:w="108" w:type="dxa"/>
            </w:tcMar>
          </w:tcPr>
          <w:p w14:paraId="1223AB58" w14:textId="77777777" w:rsidR="00486378" w:rsidRPr="00C2485E" w:rsidRDefault="00486378" w:rsidP="0067627D">
            <w:pPr>
              <w:pStyle w:val="BodyText"/>
              <w:rPr>
                <w:sz w:val="16"/>
                <w:szCs w:val="16"/>
                <w:lang w:eastAsia="de-DE"/>
              </w:rPr>
            </w:pPr>
            <w:r w:rsidRPr="00C2485E">
              <w:rPr>
                <w:sz w:val="16"/>
                <w:szCs w:val="16"/>
                <w:lang w:eastAsia="de-DE"/>
              </w:rPr>
              <w:t>Lieferantenanschrift lang</w:t>
            </w:r>
          </w:p>
        </w:tc>
        <w:tc>
          <w:tcPr>
            <w:tcW w:w="900" w:type="dxa"/>
            <w:tcBorders>
              <w:top w:val="nil"/>
              <w:left w:val="nil"/>
              <w:bottom w:val="single" w:sz="8" w:space="0" w:color="000000"/>
              <w:right w:val="single" w:sz="8" w:space="0" w:color="000000"/>
            </w:tcBorders>
            <w:tcMar>
              <w:top w:w="0" w:type="dxa"/>
              <w:left w:w="108" w:type="dxa"/>
              <w:bottom w:w="0" w:type="dxa"/>
              <w:right w:w="108" w:type="dxa"/>
            </w:tcMar>
          </w:tcPr>
          <w:p w14:paraId="7D70F926" w14:textId="77777777" w:rsidR="00486378" w:rsidRPr="00C2485E" w:rsidRDefault="00486378" w:rsidP="0067627D">
            <w:pPr>
              <w:pStyle w:val="BodyText"/>
              <w:rPr>
                <w:sz w:val="16"/>
                <w:szCs w:val="16"/>
                <w:lang w:eastAsia="de-DE"/>
              </w:rPr>
            </w:pPr>
            <w:r w:rsidRPr="00C2485E">
              <w:rPr>
                <w:sz w:val="16"/>
                <w:szCs w:val="16"/>
                <w:lang w:eastAsia="de-DE"/>
              </w:rPr>
              <w:t xml:space="preserve">M </w:t>
            </w:r>
            <w:r w:rsidRPr="00C2485E">
              <w:rPr>
                <w:sz w:val="16"/>
                <w:szCs w:val="16"/>
                <w:vertAlign w:val="superscript"/>
                <w:lang w:eastAsia="de-DE"/>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tcPr>
          <w:p w14:paraId="7213311F" w14:textId="77777777" w:rsidR="00486378" w:rsidRPr="00C2485E" w:rsidRDefault="00486378" w:rsidP="0067627D">
            <w:pPr>
              <w:pStyle w:val="BodyText"/>
              <w:rPr>
                <w:sz w:val="16"/>
                <w:szCs w:val="16"/>
                <w:lang w:eastAsia="de-DE"/>
              </w:rPr>
            </w:pPr>
          </w:p>
        </w:tc>
        <w:tc>
          <w:tcPr>
            <w:tcW w:w="2596" w:type="dxa"/>
            <w:tcBorders>
              <w:top w:val="nil"/>
              <w:left w:val="nil"/>
              <w:bottom w:val="single" w:sz="8" w:space="0" w:color="000000"/>
              <w:right w:val="single" w:sz="8" w:space="0" w:color="000000"/>
            </w:tcBorders>
            <w:tcMar>
              <w:top w:w="0" w:type="dxa"/>
              <w:left w:w="108" w:type="dxa"/>
              <w:bottom w:w="0" w:type="dxa"/>
              <w:right w:w="108" w:type="dxa"/>
            </w:tcMar>
          </w:tcPr>
          <w:p w14:paraId="65505816" w14:textId="77777777" w:rsidR="00486378" w:rsidRPr="00C2485E" w:rsidRDefault="00486378" w:rsidP="0067627D">
            <w:pPr>
              <w:pStyle w:val="BodyText"/>
              <w:rPr>
                <w:sz w:val="16"/>
                <w:szCs w:val="16"/>
                <w:lang w:eastAsia="de-DE"/>
              </w:rPr>
            </w:pPr>
          </w:p>
        </w:tc>
      </w:tr>
    </w:tbl>
    <w:p w14:paraId="5F7A8DAA" w14:textId="77777777" w:rsidR="00C2485E" w:rsidRDefault="00C2485E" w:rsidP="00074017">
      <w:pPr>
        <w:pStyle w:val="BodyText"/>
        <w:rPr>
          <w:vertAlign w:val="superscript"/>
          <w:lang w:eastAsia="de-DE"/>
        </w:rPr>
      </w:pPr>
    </w:p>
    <w:p w14:paraId="7B999270" w14:textId="7D1FC17E" w:rsidR="00486378" w:rsidRPr="00486378" w:rsidRDefault="00486378" w:rsidP="00C2485E">
      <w:pPr>
        <w:pStyle w:val="BodyText"/>
        <w:ind w:left="851" w:hanging="851"/>
        <w:rPr>
          <w:lang w:eastAsia="de-DE"/>
        </w:rPr>
      </w:pPr>
      <w:r w:rsidRPr="00486378">
        <w:rPr>
          <w:vertAlign w:val="superscript"/>
          <w:lang w:eastAsia="de-DE"/>
        </w:rPr>
        <w:t>1)       </w:t>
      </w:r>
      <w:r w:rsidR="00C2485E">
        <w:rPr>
          <w:vertAlign w:val="superscript"/>
          <w:lang w:eastAsia="de-DE"/>
        </w:rPr>
        <w:tab/>
      </w:r>
      <w:r w:rsidRPr="00486378">
        <w:rPr>
          <w:vertAlign w:val="superscript"/>
          <w:lang w:eastAsia="de-DE"/>
        </w:rPr>
        <w:t xml:space="preserve"> </w:t>
      </w:r>
      <w:r w:rsidRPr="00486378">
        <w:rPr>
          <w:lang w:eastAsia="de-DE"/>
        </w:rPr>
        <w:t>Von der VDA-Empfehlung 4902 Version 4 (oder nachfolgende Version abweichende Forderungen der GRAMMER AG)</w:t>
      </w:r>
    </w:p>
    <w:p w14:paraId="4D93D12A" w14:textId="77777777" w:rsidR="00486378" w:rsidRPr="00486378" w:rsidRDefault="00486378" w:rsidP="00C2485E">
      <w:pPr>
        <w:pStyle w:val="BodyText"/>
        <w:ind w:left="851" w:hanging="851"/>
        <w:rPr>
          <w:lang w:eastAsia="de-DE"/>
        </w:rPr>
      </w:pPr>
      <w:r w:rsidRPr="00486378">
        <w:rPr>
          <w:vertAlign w:val="superscript"/>
          <w:lang w:eastAsia="de-DE"/>
        </w:rPr>
        <w:t xml:space="preserve">2)        </w:t>
      </w:r>
      <w:r w:rsidR="00C2485E">
        <w:rPr>
          <w:vertAlign w:val="superscript"/>
          <w:lang w:eastAsia="de-DE"/>
        </w:rPr>
        <w:tab/>
      </w:r>
      <w:r w:rsidRPr="00486378">
        <w:rPr>
          <w:lang w:eastAsia="de-DE"/>
        </w:rPr>
        <w:t>Bei Anlieferung mehrerer Sachnummern auf einem Packstück dieses Feld mit dem Vermerk „Mischsendung“ zu kennzeichnen.</w:t>
      </w:r>
    </w:p>
    <w:p w14:paraId="3ACC297A" w14:textId="77777777" w:rsidR="00486378" w:rsidRPr="00486378" w:rsidRDefault="00486378" w:rsidP="00074017">
      <w:pPr>
        <w:pStyle w:val="BodyText"/>
        <w:rPr>
          <w:lang w:eastAsia="de-DE"/>
        </w:rPr>
      </w:pPr>
    </w:p>
    <w:p w14:paraId="455FF267" w14:textId="77777777" w:rsidR="00486378" w:rsidRPr="00486378" w:rsidRDefault="00486378" w:rsidP="00074017">
      <w:pPr>
        <w:pStyle w:val="BodyText"/>
        <w:rPr>
          <w:lang w:eastAsia="de-DE"/>
        </w:rPr>
      </w:pPr>
      <w:r w:rsidRPr="00486378">
        <w:rPr>
          <w:lang w:eastAsia="de-DE"/>
        </w:rPr>
        <w:t xml:space="preserve">Abweichungen zu der o.g. Festlegung sind </w:t>
      </w:r>
      <w:proofErr w:type="gramStart"/>
      <w:r w:rsidRPr="00486378">
        <w:rPr>
          <w:lang w:eastAsia="de-DE"/>
        </w:rPr>
        <w:t>zwischen Lieferant</w:t>
      </w:r>
      <w:proofErr w:type="gramEnd"/>
      <w:r w:rsidRPr="00486378">
        <w:rPr>
          <w:lang w:eastAsia="de-DE"/>
        </w:rPr>
        <w:t xml:space="preserve"> und GRAMMER zu vereinbaren.</w:t>
      </w:r>
    </w:p>
    <w:p w14:paraId="0CE34565" w14:textId="77777777" w:rsidR="00486378" w:rsidRPr="00486378" w:rsidRDefault="00486378" w:rsidP="00074017">
      <w:pPr>
        <w:pStyle w:val="BodyText"/>
        <w:rPr>
          <w:lang w:eastAsia="de-DE"/>
        </w:rPr>
      </w:pPr>
    </w:p>
    <w:p w14:paraId="05E9DD5B" w14:textId="77777777" w:rsidR="00486378" w:rsidRPr="00486378" w:rsidRDefault="00486378" w:rsidP="00074017">
      <w:pPr>
        <w:pStyle w:val="BodyText"/>
        <w:rPr>
          <w:lang w:eastAsia="de-DE"/>
        </w:rPr>
      </w:pPr>
      <w:r w:rsidRPr="00486378">
        <w:rPr>
          <w:lang w:eastAsia="de-DE"/>
        </w:rPr>
        <w:t xml:space="preserve">Die Felder Lieferscheinnummer, Sachnummer Kunde, Füllmenge und Lieferantennummer sind zusätzlich als Barcode (Code 39) anzudrucken. Dabei </w:t>
      </w:r>
      <w:proofErr w:type="gramStart"/>
      <w:r w:rsidRPr="00486378">
        <w:rPr>
          <w:lang w:eastAsia="de-DE"/>
        </w:rPr>
        <w:t>muss  vor</w:t>
      </w:r>
      <w:proofErr w:type="gramEnd"/>
      <w:r w:rsidRPr="00486378">
        <w:rPr>
          <w:lang w:eastAsia="de-DE"/>
        </w:rPr>
        <w:t xml:space="preserve"> dem eigentlichen Barcodeinhalt eine Barcode-Kennung vorangesetzt werden (</w:t>
      </w:r>
      <w:proofErr w:type="spellStart"/>
      <w:r w:rsidRPr="00486378">
        <w:rPr>
          <w:lang w:eastAsia="de-DE"/>
        </w:rPr>
        <w:t>Prefix</w:t>
      </w:r>
      <w:proofErr w:type="spellEnd"/>
      <w:r w:rsidRPr="00486378">
        <w:rPr>
          <w:lang w:eastAsia="de-DE"/>
        </w:rPr>
        <w:t>). Dabei sind folgende Barcode-Kennungen zu verwenden:</w:t>
      </w:r>
    </w:p>
    <w:p w14:paraId="77DD9F3B" w14:textId="77777777" w:rsidR="00486378" w:rsidRPr="00486378" w:rsidRDefault="00486378" w:rsidP="00074017">
      <w:pPr>
        <w:autoSpaceDE w:val="0"/>
        <w:autoSpaceDN w:val="0"/>
        <w:adjustRightInd w:val="0"/>
        <w:jc w:val="both"/>
        <w:rPr>
          <w:rFonts w:eastAsia="Times New Roman"/>
          <w:sz w:val="22"/>
          <w:szCs w:val="22"/>
          <w:lang w:eastAsia="de-DE"/>
        </w:rPr>
      </w:pPr>
    </w:p>
    <w:p w14:paraId="0C329CF6" w14:textId="77777777" w:rsidR="00486378" w:rsidRPr="00486378" w:rsidRDefault="00486378" w:rsidP="00E07ECA">
      <w:pPr>
        <w:pStyle w:val="BodyText"/>
        <w:jc w:val="both"/>
        <w:rPr>
          <w:lang w:eastAsia="de-DE"/>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773"/>
        <w:gridCol w:w="2497"/>
      </w:tblGrid>
      <w:tr w:rsidR="00486378" w:rsidRPr="00486378" w14:paraId="771D22D9" w14:textId="77777777" w:rsidTr="006946C3">
        <w:tc>
          <w:tcPr>
            <w:tcW w:w="4773" w:type="dxa"/>
          </w:tcPr>
          <w:p w14:paraId="0CBC4D08" w14:textId="77777777" w:rsidR="00486378" w:rsidRPr="00486378" w:rsidRDefault="00486378" w:rsidP="00E07ECA">
            <w:pPr>
              <w:pStyle w:val="BodyText"/>
              <w:jc w:val="both"/>
              <w:rPr>
                <w:b/>
                <w:bCs/>
                <w:lang w:eastAsia="de-DE"/>
              </w:rPr>
            </w:pPr>
            <w:r w:rsidRPr="00486378">
              <w:rPr>
                <w:b/>
                <w:bCs/>
                <w:lang w:eastAsia="de-DE"/>
              </w:rPr>
              <w:t>Datenelement</w:t>
            </w:r>
          </w:p>
        </w:tc>
        <w:tc>
          <w:tcPr>
            <w:tcW w:w="2497" w:type="dxa"/>
          </w:tcPr>
          <w:p w14:paraId="2EE3E035" w14:textId="77777777" w:rsidR="00486378" w:rsidRPr="00486378" w:rsidRDefault="00486378" w:rsidP="00E07ECA">
            <w:pPr>
              <w:pStyle w:val="BodyText"/>
              <w:jc w:val="both"/>
              <w:rPr>
                <w:b/>
                <w:bCs/>
                <w:lang w:eastAsia="de-DE"/>
              </w:rPr>
            </w:pPr>
            <w:r w:rsidRPr="00486378">
              <w:rPr>
                <w:b/>
                <w:bCs/>
                <w:lang w:eastAsia="de-DE"/>
              </w:rPr>
              <w:t>Barcode-Kennung</w:t>
            </w:r>
          </w:p>
        </w:tc>
      </w:tr>
      <w:tr w:rsidR="00486378" w:rsidRPr="00486378" w14:paraId="2D675CC4" w14:textId="77777777" w:rsidTr="006946C3">
        <w:tc>
          <w:tcPr>
            <w:tcW w:w="4773" w:type="dxa"/>
          </w:tcPr>
          <w:p w14:paraId="33CED79E" w14:textId="77777777" w:rsidR="00486378" w:rsidRPr="00486378" w:rsidRDefault="00486378" w:rsidP="00E07ECA">
            <w:pPr>
              <w:pStyle w:val="BodyText"/>
              <w:jc w:val="both"/>
              <w:rPr>
                <w:lang w:eastAsia="de-DE"/>
              </w:rPr>
            </w:pPr>
            <w:r w:rsidRPr="00486378">
              <w:rPr>
                <w:lang w:eastAsia="de-DE"/>
              </w:rPr>
              <w:t>Lieferscheinnummer</w:t>
            </w:r>
          </w:p>
        </w:tc>
        <w:tc>
          <w:tcPr>
            <w:tcW w:w="2497" w:type="dxa"/>
          </w:tcPr>
          <w:p w14:paraId="21329ABF" w14:textId="77777777" w:rsidR="00486378" w:rsidRPr="00486378" w:rsidRDefault="00486378" w:rsidP="00E07ECA">
            <w:pPr>
              <w:pStyle w:val="BodyText"/>
              <w:jc w:val="both"/>
              <w:rPr>
                <w:lang w:eastAsia="de-DE"/>
              </w:rPr>
            </w:pPr>
            <w:r w:rsidRPr="00486378">
              <w:rPr>
                <w:lang w:eastAsia="de-DE"/>
              </w:rPr>
              <w:t>N</w:t>
            </w:r>
          </w:p>
        </w:tc>
      </w:tr>
      <w:tr w:rsidR="00486378" w:rsidRPr="00486378" w14:paraId="213D2C9A" w14:textId="77777777" w:rsidTr="006946C3">
        <w:tc>
          <w:tcPr>
            <w:tcW w:w="4773" w:type="dxa"/>
          </w:tcPr>
          <w:p w14:paraId="715E9AB3" w14:textId="77777777" w:rsidR="00486378" w:rsidRPr="00486378" w:rsidRDefault="00486378" w:rsidP="00E07ECA">
            <w:pPr>
              <w:pStyle w:val="BodyText"/>
              <w:jc w:val="both"/>
              <w:rPr>
                <w:lang w:eastAsia="de-DE"/>
              </w:rPr>
            </w:pPr>
            <w:r w:rsidRPr="00486378">
              <w:rPr>
                <w:lang w:eastAsia="de-DE"/>
              </w:rPr>
              <w:t>Sachnummer Kunde</w:t>
            </w:r>
          </w:p>
        </w:tc>
        <w:tc>
          <w:tcPr>
            <w:tcW w:w="2497" w:type="dxa"/>
          </w:tcPr>
          <w:p w14:paraId="5561BA84" w14:textId="77777777" w:rsidR="00486378" w:rsidRPr="00486378" w:rsidRDefault="00486378" w:rsidP="00E07ECA">
            <w:pPr>
              <w:pStyle w:val="BodyText"/>
              <w:jc w:val="both"/>
              <w:rPr>
                <w:lang w:eastAsia="de-DE"/>
              </w:rPr>
            </w:pPr>
            <w:r w:rsidRPr="00486378">
              <w:rPr>
                <w:lang w:eastAsia="de-DE"/>
              </w:rPr>
              <w:t>P</w:t>
            </w:r>
          </w:p>
        </w:tc>
      </w:tr>
      <w:tr w:rsidR="00486378" w:rsidRPr="00486378" w14:paraId="4488C319" w14:textId="77777777" w:rsidTr="006946C3">
        <w:tc>
          <w:tcPr>
            <w:tcW w:w="4773" w:type="dxa"/>
          </w:tcPr>
          <w:p w14:paraId="42E4D0D5" w14:textId="77777777" w:rsidR="00486378" w:rsidRPr="00486378" w:rsidRDefault="00486378" w:rsidP="00E07ECA">
            <w:pPr>
              <w:pStyle w:val="BodyText"/>
              <w:jc w:val="both"/>
              <w:rPr>
                <w:lang w:eastAsia="de-DE"/>
              </w:rPr>
            </w:pPr>
            <w:r w:rsidRPr="00486378">
              <w:rPr>
                <w:lang w:eastAsia="de-DE"/>
              </w:rPr>
              <w:t>Füllmenge</w:t>
            </w:r>
          </w:p>
        </w:tc>
        <w:tc>
          <w:tcPr>
            <w:tcW w:w="2497" w:type="dxa"/>
          </w:tcPr>
          <w:p w14:paraId="5F2C60C1" w14:textId="77777777" w:rsidR="00486378" w:rsidRPr="00486378" w:rsidRDefault="00486378" w:rsidP="00E07ECA">
            <w:pPr>
              <w:pStyle w:val="BodyText"/>
              <w:jc w:val="both"/>
              <w:rPr>
                <w:lang w:eastAsia="de-DE"/>
              </w:rPr>
            </w:pPr>
            <w:r w:rsidRPr="00486378">
              <w:rPr>
                <w:lang w:eastAsia="de-DE"/>
              </w:rPr>
              <w:t>Q</w:t>
            </w:r>
          </w:p>
        </w:tc>
      </w:tr>
      <w:tr w:rsidR="00486378" w:rsidRPr="00486378" w14:paraId="2990F83E" w14:textId="77777777" w:rsidTr="006946C3">
        <w:tc>
          <w:tcPr>
            <w:tcW w:w="4773" w:type="dxa"/>
          </w:tcPr>
          <w:p w14:paraId="4DB18101" w14:textId="77777777" w:rsidR="00486378" w:rsidRPr="00486378" w:rsidRDefault="00486378" w:rsidP="00E07ECA">
            <w:pPr>
              <w:pStyle w:val="BodyText"/>
              <w:jc w:val="both"/>
              <w:rPr>
                <w:lang w:eastAsia="de-DE"/>
              </w:rPr>
            </w:pPr>
            <w:r w:rsidRPr="00486378">
              <w:rPr>
                <w:lang w:eastAsia="de-DE"/>
              </w:rPr>
              <w:t>Lieferantennummer</w:t>
            </w:r>
          </w:p>
        </w:tc>
        <w:tc>
          <w:tcPr>
            <w:tcW w:w="2497" w:type="dxa"/>
          </w:tcPr>
          <w:p w14:paraId="2DAEE4EC" w14:textId="77777777" w:rsidR="00486378" w:rsidRPr="00486378" w:rsidRDefault="00486378" w:rsidP="00E07ECA">
            <w:pPr>
              <w:pStyle w:val="BodyText"/>
              <w:jc w:val="both"/>
              <w:rPr>
                <w:lang w:eastAsia="de-DE"/>
              </w:rPr>
            </w:pPr>
            <w:r w:rsidRPr="00486378">
              <w:rPr>
                <w:lang w:eastAsia="de-DE"/>
              </w:rPr>
              <w:t>V</w:t>
            </w:r>
          </w:p>
        </w:tc>
      </w:tr>
      <w:tr w:rsidR="00486378" w:rsidRPr="00486378" w14:paraId="124D7929" w14:textId="77777777" w:rsidTr="006946C3">
        <w:tc>
          <w:tcPr>
            <w:tcW w:w="4773" w:type="dxa"/>
          </w:tcPr>
          <w:p w14:paraId="39903971" w14:textId="77777777" w:rsidR="00486378" w:rsidRPr="00486378" w:rsidRDefault="00486378" w:rsidP="00E07ECA">
            <w:pPr>
              <w:pStyle w:val="BodyText"/>
              <w:jc w:val="both"/>
              <w:rPr>
                <w:lang w:eastAsia="de-DE"/>
              </w:rPr>
            </w:pPr>
            <w:r w:rsidRPr="00486378">
              <w:rPr>
                <w:lang w:eastAsia="de-DE"/>
              </w:rPr>
              <w:t>Chargen-Nummer</w:t>
            </w:r>
          </w:p>
        </w:tc>
        <w:tc>
          <w:tcPr>
            <w:tcW w:w="2497" w:type="dxa"/>
          </w:tcPr>
          <w:p w14:paraId="6CF87280" w14:textId="77777777" w:rsidR="00486378" w:rsidRPr="00486378" w:rsidRDefault="00486378" w:rsidP="00E07ECA">
            <w:pPr>
              <w:pStyle w:val="BodyText"/>
              <w:jc w:val="both"/>
              <w:rPr>
                <w:lang w:eastAsia="de-DE"/>
              </w:rPr>
            </w:pPr>
            <w:r w:rsidRPr="00486378">
              <w:rPr>
                <w:lang w:eastAsia="de-DE"/>
              </w:rPr>
              <w:t>H</w:t>
            </w:r>
          </w:p>
        </w:tc>
      </w:tr>
      <w:tr w:rsidR="00F22529" w:rsidRPr="00486378" w14:paraId="0D66C589" w14:textId="77777777" w:rsidTr="006946C3">
        <w:tc>
          <w:tcPr>
            <w:tcW w:w="4773" w:type="dxa"/>
          </w:tcPr>
          <w:p w14:paraId="412DD9A9" w14:textId="77777777" w:rsidR="00F22529" w:rsidRPr="00486378" w:rsidRDefault="00F22529" w:rsidP="00E07ECA">
            <w:pPr>
              <w:pStyle w:val="BodyText"/>
              <w:jc w:val="both"/>
              <w:rPr>
                <w:lang w:eastAsia="de-DE"/>
              </w:rPr>
            </w:pPr>
            <w:r>
              <w:rPr>
                <w:lang w:eastAsia="de-DE"/>
              </w:rPr>
              <w:t>Single Label</w:t>
            </w:r>
          </w:p>
        </w:tc>
        <w:tc>
          <w:tcPr>
            <w:tcW w:w="2497" w:type="dxa"/>
          </w:tcPr>
          <w:p w14:paraId="1703F1FA" w14:textId="77777777" w:rsidR="00F22529" w:rsidRPr="00486378" w:rsidRDefault="00F22529" w:rsidP="00E07ECA">
            <w:pPr>
              <w:pStyle w:val="BodyText"/>
              <w:jc w:val="both"/>
              <w:rPr>
                <w:lang w:eastAsia="de-DE"/>
              </w:rPr>
            </w:pPr>
            <w:r>
              <w:rPr>
                <w:lang w:eastAsia="de-DE"/>
              </w:rPr>
              <w:t>S</w:t>
            </w:r>
          </w:p>
        </w:tc>
      </w:tr>
      <w:tr w:rsidR="00F22529" w:rsidRPr="00486378" w14:paraId="6EA9B69C" w14:textId="77777777" w:rsidTr="006946C3">
        <w:tc>
          <w:tcPr>
            <w:tcW w:w="4773" w:type="dxa"/>
          </w:tcPr>
          <w:p w14:paraId="3AB4D7B6" w14:textId="77777777" w:rsidR="00F22529" w:rsidRDefault="00F22529" w:rsidP="00E07ECA">
            <w:pPr>
              <w:pStyle w:val="BodyText"/>
              <w:jc w:val="both"/>
              <w:rPr>
                <w:lang w:eastAsia="de-DE"/>
              </w:rPr>
            </w:pPr>
            <w:r>
              <w:rPr>
                <w:lang w:eastAsia="de-DE"/>
              </w:rPr>
              <w:t>Master Label</w:t>
            </w:r>
          </w:p>
        </w:tc>
        <w:tc>
          <w:tcPr>
            <w:tcW w:w="2497" w:type="dxa"/>
          </w:tcPr>
          <w:p w14:paraId="46C42AC6" w14:textId="77777777" w:rsidR="00F22529" w:rsidRDefault="00F22529" w:rsidP="00E07ECA">
            <w:pPr>
              <w:pStyle w:val="BodyText"/>
              <w:jc w:val="both"/>
              <w:rPr>
                <w:lang w:eastAsia="de-DE"/>
              </w:rPr>
            </w:pPr>
            <w:r>
              <w:rPr>
                <w:lang w:eastAsia="de-DE"/>
              </w:rPr>
              <w:t>M</w:t>
            </w:r>
          </w:p>
        </w:tc>
      </w:tr>
      <w:tr w:rsidR="00F22529" w:rsidRPr="00486378" w14:paraId="13AE2BF7" w14:textId="77777777" w:rsidTr="006946C3">
        <w:tc>
          <w:tcPr>
            <w:tcW w:w="4773" w:type="dxa"/>
          </w:tcPr>
          <w:p w14:paraId="7FCF5FDA" w14:textId="77777777" w:rsidR="00F22529" w:rsidRDefault="00F22529" w:rsidP="00E07ECA">
            <w:pPr>
              <w:pStyle w:val="BodyText"/>
              <w:jc w:val="both"/>
              <w:rPr>
                <w:lang w:eastAsia="de-DE"/>
              </w:rPr>
            </w:pPr>
            <w:r>
              <w:rPr>
                <w:lang w:eastAsia="de-DE"/>
              </w:rPr>
              <w:t>Mixed Label</w:t>
            </w:r>
          </w:p>
        </w:tc>
        <w:tc>
          <w:tcPr>
            <w:tcW w:w="2497" w:type="dxa"/>
          </w:tcPr>
          <w:p w14:paraId="519D1EA9" w14:textId="77777777" w:rsidR="00F22529" w:rsidRDefault="00F22529" w:rsidP="00E07ECA">
            <w:pPr>
              <w:pStyle w:val="BodyText"/>
              <w:jc w:val="both"/>
              <w:rPr>
                <w:lang w:eastAsia="de-DE"/>
              </w:rPr>
            </w:pPr>
            <w:r>
              <w:rPr>
                <w:lang w:eastAsia="de-DE"/>
              </w:rPr>
              <w:t>G</w:t>
            </w:r>
          </w:p>
        </w:tc>
      </w:tr>
    </w:tbl>
    <w:p w14:paraId="1BD94BCB" w14:textId="77777777" w:rsidR="00486378" w:rsidRPr="00486378" w:rsidRDefault="00486378" w:rsidP="00486378">
      <w:pPr>
        <w:autoSpaceDE w:val="0"/>
        <w:autoSpaceDN w:val="0"/>
        <w:adjustRightInd w:val="0"/>
        <w:jc w:val="both"/>
        <w:rPr>
          <w:rFonts w:eastAsia="Times New Roman"/>
          <w:sz w:val="22"/>
          <w:szCs w:val="22"/>
          <w:lang w:eastAsia="de-DE"/>
        </w:rPr>
      </w:pPr>
    </w:p>
    <w:p w14:paraId="7A3D72E6" w14:textId="77777777" w:rsidR="00486378" w:rsidRPr="00486378" w:rsidRDefault="00486378" w:rsidP="00486378">
      <w:pPr>
        <w:autoSpaceDE w:val="0"/>
        <w:autoSpaceDN w:val="0"/>
        <w:adjustRightInd w:val="0"/>
        <w:jc w:val="both"/>
        <w:rPr>
          <w:rFonts w:eastAsia="Times New Roman"/>
          <w:sz w:val="22"/>
          <w:szCs w:val="22"/>
          <w:lang w:eastAsia="de-DE"/>
        </w:rPr>
      </w:pPr>
    </w:p>
    <w:p w14:paraId="226DDEB0" w14:textId="77777777" w:rsidR="00486378" w:rsidRPr="00486378" w:rsidRDefault="003255C3" w:rsidP="00074017">
      <w:pPr>
        <w:pStyle w:val="BodyText"/>
        <w:rPr>
          <w:lang w:eastAsia="de-DE"/>
        </w:rPr>
      </w:pPr>
      <w:r>
        <w:rPr>
          <w:lang w:eastAsia="de-DE"/>
        </w:rPr>
        <w:br w:type="page"/>
      </w:r>
      <w:r w:rsidR="00486378" w:rsidRPr="00486378">
        <w:rPr>
          <w:lang w:eastAsia="de-DE"/>
        </w:rPr>
        <w:t xml:space="preserve">Der Warenanhänger muss von außen gut sichtbar angebracht sein und darf die Außenkontur der Verpackung nicht überschreiten und sich nicht gegenseitig überdecken. Die Beschaffenheit des Anhängers und die Anbringung </w:t>
      </w:r>
      <w:r w:rsidR="004B4E75" w:rsidRPr="00486378">
        <w:rPr>
          <w:lang w:eastAsia="de-DE"/>
        </w:rPr>
        <w:t>sind</w:t>
      </w:r>
      <w:r w:rsidR="00486378" w:rsidRPr="00486378">
        <w:rPr>
          <w:lang w:eastAsia="de-DE"/>
        </w:rPr>
        <w:t xml:space="preserve"> so zu wählen, dass der Warenanhänger am Anlieferort maschinell und manuell lesbar ist. Der Warenanhänger ist so zu befestigen, dass er bei normalem Handling und Transport nicht verloren geht.</w:t>
      </w:r>
    </w:p>
    <w:p w14:paraId="6C04C699" w14:textId="77777777" w:rsidR="00486378" w:rsidRPr="00486378" w:rsidRDefault="00486378" w:rsidP="00074017">
      <w:pPr>
        <w:pStyle w:val="BodyText"/>
        <w:rPr>
          <w:lang w:eastAsia="de-DE"/>
        </w:rPr>
      </w:pPr>
    </w:p>
    <w:p w14:paraId="0E43D26C" w14:textId="77777777" w:rsidR="00486378" w:rsidRPr="00486378" w:rsidRDefault="00486378" w:rsidP="00074017">
      <w:pPr>
        <w:pStyle w:val="BodyText"/>
        <w:rPr>
          <w:lang w:eastAsia="de-DE"/>
        </w:rPr>
      </w:pPr>
      <w:r w:rsidRPr="00486378">
        <w:rPr>
          <w:lang w:eastAsia="de-DE"/>
        </w:rPr>
        <w:t>Elemente der Ladeeinheitensicherung (</w:t>
      </w:r>
      <w:proofErr w:type="spellStart"/>
      <w:r w:rsidRPr="00486378">
        <w:rPr>
          <w:lang w:eastAsia="de-DE"/>
        </w:rPr>
        <w:t>Umreifungsbänder</w:t>
      </w:r>
      <w:proofErr w:type="spellEnd"/>
      <w:r w:rsidRPr="00486378">
        <w:rPr>
          <w:lang w:eastAsia="de-DE"/>
        </w:rPr>
        <w:t>) dürfen die Lesbarkeit des Warenanhängers nicht behindern.</w:t>
      </w:r>
    </w:p>
    <w:p w14:paraId="5AEC3001" w14:textId="77777777" w:rsidR="00486378" w:rsidRPr="00486378" w:rsidRDefault="00486378" w:rsidP="00074017">
      <w:pPr>
        <w:pStyle w:val="BodyText"/>
        <w:rPr>
          <w:lang w:eastAsia="de-DE"/>
        </w:rPr>
      </w:pPr>
      <w:r w:rsidRPr="00486378">
        <w:rPr>
          <w:lang w:eastAsia="de-DE"/>
        </w:rPr>
        <w:t xml:space="preserve">Zusätzliche Warenanhänger dürfen nur Informationen für den Abnehmer / Transporteur (z.B. Änderungshinweis, Gefahrgutkennzeichnung, Sicherheitshinweise) beinhalten. Diese sind so anzubringen, dass sie die Außenkontur der Verpackung nicht überschreiten. Alte Warenanhänger sowie Befestigungselemente (z.B. Clips, Drähte) sind zu entfernen. </w:t>
      </w:r>
    </w:p>
    <w:p w14:paraId="31FA8E1A" w14:textId="77777777" w:rsidR="00486378" w:rsidRPr="00486378" w:rsidRDefault="00486378" w:rsidP="00074017">
      <w:pPr>
        <w:pStyle w:val="BodyText"/>
        <w:rPr>
          <w:lang w:eastAsia="de-DE"/>
        </w:rPr>
      </w:pPr>
      <w:r w:rsidRPr="00486378">
        <w:rPr>
          <w:lang w:eastAsia="de-DE"/>
        </w:rPr>
        <w:t>Bei Mehrwegbehältern ist keine vollflächige Verklebung zu verwenden.</w:t>
      </w:r>
    </w:p>
    <w:p w14:paraId="742A38F5" w14:textId="77777777" w:rsidR="00486378" w:rsidRPr="00486378" w:rsidRDefault="00486378" w:rsidP="00074017">
      <w:pPr>
        <w:pStyle w:val="BodyText"/>
        <w:rPr>
          <w:lang w:eastAsia="de-DE"/>
        </w:rPr>
      </w:pPr>
    </w:p>
    <w:p w14:paraId="061E8162" w14:textId="3CDA24DF" w:rsidR="00486378" w:rsidRDefault="00074017" w:rsidP="00074017">
      <w:pPr>
        <w:pStyle w:val="BodyText"/>
        <w:rPr>
          <w:lang w:eastAsia="de-DE"/>
        </w:rPr>
      </w:pPr>
      <w:bookmarkStart w:id="112" w:name="Versorgung"/>
      <w:r>
        <w:rPr>
          <w:lang w:eastAsia="de-DE"/>
        </w:rPr>
        <w:br/>
      </w:r>
    </w:p>
    <w:p w14:paraId="5B564CD0" w14:textId="77777777" w:rsidR="00C2485E" w:rsidRDefault="00C2485E" w:rsidP="00074017">
      <w:pPr>
        <w:pStyle w:val="BodyText"/>
        <w:rPr>
          <w:lang w:eastAsia="de-DE"/>
        </w:rPr>
      </w:pPr>
    </w:p>
    <w:p w14:paraId="18CDBAF4" w14:textId="77777777" w:rsidR="00C2485E" w:rsidRPr="00486378" w:rsidRDefault="00C2485E" w:rsidP="00074017">
      <w:pPr>
        <w:pStyle w:val="BodyText"/>
        <w:rPr>
          <w:lang w:eastAsia="de-DE"/>
        </w:rPr>
      </w:pPr>
    </w:p>
    <w:p w14:paraId="2789F1FE" w14:textId="77777777" w:rsidR="00486378" w:rsidRPr="00486378" w:rsidRDefault="00486378" w:rsidP="00074017">
      <w:pPr>
        <w:pStyle w:val="b2"/>
        <w:rPr>
          <w:lang w:eastAsia="de-DE"/>
        </w:rPr>
      </w:pPr>
      <w:bookmarkStart w:id="113" w:name="_Toc179342342"/>
      <w:bookmarkStart w:id="114" w:name="_Toc188346318"/>
      <w:r w:rsidRPr="00486378">
        <w:rPr>
          <w:lang w:eastAsia="de-DE"/>
        </w:rPr>
        <w:t>Verpackung für Gefahrgut</w:t>
      </w:r>
      <w:bookmarkEnd w:id="113"/>
      <w:bookmarkEnd w:id="114"/>
    </w:p>
    <w:p w14:paraId="72155E75" w14:textId="77777777" w:rsidR="00486378" w:rsidRPr="00486378" w:rsidRDefault="00486378" w:rsidP="00074017">
      <w:pPr>
        <w:pStyle w:val="b3"/>
        <w:rPr>
          <w:lang w:eastAsia="de-DE"/>
        </w:rPr>
      </w:pPr>
      <w:bookmarkStart w:id="115" w:name="_Toc179342343"/>
      <w:r w:rsidRPr="00486378">
        <w:rPr>
          <w:lang w:eastAsia="de-DE"/>
        </w:rPr>
        <w:t>Allgemeines</w:t>
      </w:r>
      <w:bookmarkEnd w:id="115"/>
    </w:p>
    <w:p w14:paraId="38D5AFC2" w14:textId="77777777" w:rsidR="00486378" w:rsidRPr="00486378" w:rsidRDefault="00486378" w:rsidP="00074017">
      <w:pPr>
        <w:pStyle w:val="BodyText"/>
        <w:rPr>
          <w:lang w:eastAsia="de-DE"/>
        </w:rPr>
      </w:pPr>
      <w:r w:rsidRPr="00486378">
        <w:rPr>
          <w:lang w:eastAsia="de-DE"/>
        </w:rPr>
        <w:t>Gefahrgut ist der Begriff für alle Stoffe und Zubereitungen, die gemäß der Gefahrstoffverordnung (GefStoffV) und den relevanten EU-Richtlinien (z.B. 67/548/EWG und 1999/45/EG) bzw. deren Umsetzungen in nationales Recht nach Gefährdungspotential eingestuft werden und wegen ihrer gefährlichen Eigenschaften zu kennzeichnen sind. In Nicht EU-Ländern sind die jeweils gültigen landeseigenen Vorschriften zu beachten.</w:t>
      </w:r>
    </w:p>
    <w:p w14:paraId="78C465B0" w14:textId="77777777" w:rsidR="00486378" w:rsidRDefault="00486378" w:rsidP="00074017">
      <w:pPr>
        <w:pStyle w:val="BodyText"/>
        <w:rPr>
          <w:lang w:eastAsia="de-DE"/>
        </w:rPr>
      </w:pPr>
      <w:r w:rsidRPr="00486378">
        <w:rPr>
          <w:lang w:eastAsia="de-DE"/>
        </w:rPr>
        <w:t>Die Regelungen verfolgen den Grundsatz, Mensch und Umwelt zu schützen, und einen für den Menschen wichtigen Hinweis auf Gefahrstoffe zu geben.</w:t>
      </w:r>
    </w:p>
    <w:p w14:paraId="217E0454" w14:textId="77777777" w:rsidR="00C2485E" w:rsidRDefault="00C2485E" w:rsidP="00074017">
      <w:pPr>
        <w:pStyle w:val="BodyText"/>
        <w:rPr>
          <w:lang w:eastAsia="de-DE"/>
        </w:rPr>
      </w:pPr>
    </w:p>
    <w:p w14:paraId="7A78D9DD" w14:textId="77777777" w:rsidR="00C2485E" w:rsidRDefault="00C2485E" w:rsidP="00074017">
      <w:pPr>
        <w:pStyle w:val="BodyText"/>
        <w:rPr>
          <w:lang w:eastAsia="de-DE"/>
        </w:rPr>
      </w:pPr>
    </w:p>
    <w:p w14:paraId="094ADAD7" w14:textId="77777777" w:rsidR="00C2485E" w:rsidRPr="00486378" w:rsidRDefault="00C2485E" w:rsidP="00074017">
      <w:pPr>
        <w:pStyle w:val="BodyText"/>
        <w:rPr>
          <w:lang w:eastAsia="de-DE"/>
        </w:rPr>
      </w:pPr>
    </w:p>
    <w:p w14:paraId="17BA1EC8" w14:textId="77777777" w:rsidR="00486378" w:rsidRPr="00486378" w:rsidRDefault="00486378" w:rsidP="00074017">
      <w:pPr>
        <w:pStyle w:val="b2"/>
        <w:rPr>
          <w:lang w:eastAsia="de-DE"/>
        </w:rPr>
      </w:pPr>
      <w:bookmarkStart w:id="116" w:name="_Toc179342344"/>
      <w:bookmarkStart w:id="117" w:name="_Toc188346319"/>
      <w:r w:rsidRPr="00486378">
        <w:rPr>
          <w:lang w:eastAsia="de-DE"/>
        </w:rPr>
        <w:t>Kennzeichnung von Gefahrstoffen</w:t>
      </w:r>
      <w:bookmarkEnd w:id="116"/>
      <w:bookmarkEnd w:id="117"/>
    </w:p>
    <w:p w14:paraId="5A3BACBB" w14:textId="77777777" w:rsidR="00486378" w:rsidRPr="00486378" w:rsidRDefault="00486378" w:rsidP="00E07ECA">
      <w:pPr>
        <w:pStyle w:val="BodyText"/>
        <w:rPr>
          <w:rFonts w:eastAsia="Times New Roman"/>
          <w:sz w:val="22"/>
          <w:szCs w:val="22"/>
          <w:lang w:eastAsia="de-DE"/>
        </w:rPr>
      </w:pPr>
      <w:r w:rsidRPr="00074017">
        <w:rPr>
          <w:rStyle w:val="BodyTextChar"/>
        </w:rPr>
        <w:t>Verantwortlich für die vorschriftsmäßige Kennzeichnung und Etikettierung von Gefahrgütern ist der Versender</w:t>
      </w:r>
      <w:r w:rsidRPr="00486378">
        <w:rPr>
          <w:rFonts w:eastAsia="Times New Roman"/>
          <w:sz w:val="22"/>
          <w:szCs w:val="22"/>
          <w:lang w:eastAsia="de-DE"/>
        </w:rPr>
        <w:t xml:space="preserve">. </w:t>
      </w:r>
    </w:p>
    <w:p w14:paraId="3E5E661D" w14:textId="77777777" w:rsidR="00C2485E" w:rsidRDefault="00C2485E" w:rsidP="00C2485E">
      <w:pPr>
        <w:pStyle w:val="BodyText"/>
        <w:rPr>
          <w:lang w:eastAsia="de-DE"/>
        </w:rPr>
      </w:pPr>
      <w:bookmarkStart w:id="118" w:name="_Toc179342345"/>
    </w:p>
    <w:p w14:paraId="46803AC1" w14:textId="77777777" w:rsidR="00C2485E" w:rsidRDefault="00C2485E" w:rsidP="00C2485E">
      <w:pPr>
        <w:pStyle w:val="BodyText"/>
        <w:rPr>
          <w:lang w:eastAsia="de-DE"/>
        </w:rPr>
      </w:pPr>
    </w:p>
    <w:p w14:paraId="405ADE3F" w14:textId="77777777" w:rsidR="00C2485E" w:rsidRDefault="00C2485E" w:rsidP="00C2485E">
      <w:pPr>
        <w:pStyle w:val="BodyText"/>
        <w:rPr>
          <w:lang w:eastAsia="de-DE"/>
        </w:rPr>
      </w:pPr>
    </w:p>
    <w:p w14:paraId="790CF272" w14:textId="77777777" w:rsidR="00486378" w:rsidRPr="00486378" w:rsidRDefault="00C2485E" w:rsidP="00074017">
      <w:pPr>
        <w:pStyle w:val="b1"/>
        <w:rPr>
          <w:lang w:eastAsia="de-DE"/>
        </w:rPr>
      </w:pPr>
      <w:r>
        <w:rPr>
          <w:lang w:eastAsia="de-DE"/>
        </w:rPr>
        <w:br w:type="page"/>
      </w:r>
      <w:bookmarkStart w:id="119" w:name="_Toc188346320"/>
      <w:r w:rsidR="00486378" w:rsidRPr="00486378">
        <w:rPr>
          <w:lang w:eastAsia="de-DE"/>
        </w:rPr>
        <w:t>Versorgung</w:t>
      </w:r>
      <w:bookmarkEnd w:id="112"/>
      <w:bookmarkEnd w:id="118"/>
      <w:bookmarkEnd w:id="119"/>
    </w:p>
    <w:p w14:paraId="00BDFE46" w14:textId="77777777" w:rsidR="00486378" w:rsidRPr="00486378" w:rsidRDefault="00486378" w:rsidP="00074017">
      <w:pPr>
        <w:pStyle w:val="b2"/>
        <w:rPr>
          <w:lang w:eastAsia="de-DE"/>
        </w:rPr>
      </w:pPr>
      <w:bookmarkStart w:id="120" w:name="Lieferabsicherung"/>
      <w:bookmarkStart w:id="121" w:name="_Toc179342346"/>
      <w:bookmarkStart w:id="122" w:name="_Toc188346321"/>
      <w:r w:rsidRPr="00486378">
        <w:rPr>
          <w:lang w:eastAsia="de-DE"/>
        </w:rPr>
        <w:t>Lieferabsicherung</w:t>
      </w:r>
      <w:bookmarkEnd w:id="120"/>
      <w:r w:rsidRPr="00486378">
        <w:rPr>
          <w:lang w:eastAsia="de-DE"/>
        </w:rPr>
        <w:t xml:space="preserve"> / Liefertreue</w:t>
      </w:r>
      <w:bookmarkEnd w:id="121"/>
      <w:bookmarkEnd w:id="122"/>
    </w:p>
    <w:p w14:paraId="13D0647A" w14:textId="77777777" w:rsidR="00486378" w:rsidRPr="00486378" w:rsidRDefault="00486378" w:rsidP="00074017">
      <w:pPr>
        <w:pStyle w:val="BodyText"/>
        <w:rPr>
          <w:lang w:eastAsia="de-DE"/>
        </w:rPr>
      </w:pPr>
      <w:r w:rsidRPr="00486378">
        <w:rPr>
          <w:lang w:eastAsia="de-DE"/>
        </w:rPr>
        <w:t>Der Lieferant sichert fristgerechte Lieferungen im Rahmen der vereinbarten Bereitstellungs- und Lieferzeiten zu. Die jeweils vorgegebenen Mengen und Termine sind in jedem Fall, unabhängig von gesetzlichen und kirchlichen Feiertagen und landesspezifischen Einschränkungen, einzuhalten.</w:t>
      </w:r>
    </w:p>
    <w:p w14:paraId="3CAB53C5" w14:textId="77777777" w:rsidR="00486378" w:rsidRPr="00486378" w:rsidRDefault="00486378" w:rsidP="00074017">
      <w:pPr>
        <w:pStyle w:val="BodyText"/>
        <w:rPr>
          <w:lang w:eastAsia="de-DE"/>
        </w:rPr>
      </w:pPr>
      <w:r w:rsidRPr="00486378">
        <w:rPr>
          <w:lang w:eastAsia="de-DE"/>
        </w:rPr>
        <w:t>Sind zur Einhaltung dieser Forderung Sicherheitsbestände notwendig, werden diese in Art und Umfang vom Lieferanten eigenverantwortlich festgelegt.</w:t>
      </w:r>
    </w:p>
    <w:p w14:paraId="13B97B6E" w14:textId="77777777" w:rsidR="00486378" w:rsidRPr="00486378" w:rsidRDefault="00486378" w:rsidP="00074017">
      <w:pPr>
        <w:pStyle w:val="BodyText"/>
        <w:rPr>
          <w:lang w:eastAsia="de-DE"/>
        </w:rPr>
      </w:pPr>
    </w:p>
    <w:p w14:paraId="4DC0F870" w14:textId="77777777" w:rsidR="00486378" w:rsidRPr="00486378" w:rsidRDefault="00486378" w:rsidP="00074017">
      <w:pPr>
        <w:pStyle w:val="BodyText"/>
        <w:rPr>
          <w:lang w:eastAsia="de-DE"/>
        </w:rPr>
      </w:pPr>
      <w:r w:rsidRPr="00486378">
        <w:rPr>
          <w:lang w:eastAsia="de-DE"/>
        </w:rPr>
        <w:t xml:space="preserve">Eine Belieferung nach dem </w:t>
      </w:r>
      <w:proofErr w:type="spellStart"/>
      <w:r w:rsidRPr="00486378">
        <w:rPr>
          <w:lang w:eastAsia="de-DE"/>
        </w:rPr>
        <w:t>FiFo</w:t>
      </w:r>
      <w:proofErr w:type="spellEnd"/>
      <w:r w:rsidRPr="00486378">
        <w:rPr>
          <w:lang w:eastAsia="de-DE"/>
        </w:rPr>
        <w:t xml:space="preserve"> (First in – First out) Prinzip aus eventuellen Sicherheitsbeständen über die gesamte Lieferkette muss gewährleistet sein. </w:t>
      </w:r>
    </w:p>
    <w:p w14:paraId="7F07B37B" w14:textId="77777777" w:rsidR="00486378" w:rsidRPr="00486378" w:rsidRDefault="00486378" w:rsidP="00074017">
      <w:pPr>
        <w:pStyle w:val="BodyText"/>
        <w:rPr>
          <w:lang w:eastAsia="de-DE"/>
        </w:rPr>
      </w:pPr>
      <w:r w:rsidRPr="00486378">
        <w:rPr>
          <w:lang w:eastAsia="de-DE"/>
        </w:rPr>
        <w:t>Der Lieferant ist zu Teillieferungen und Lieferungen vor Fälligkeitstermin laut Lieferplan nur mit vorheriger, schriftlicher Zustimmung des zuständigen Disponenten von GRAMMER und bei Übernahme von Mehrkosten durch den Lieferanten berechtigt.</w:t>
      </w:r>
    </w:p>
    <w:p w14:paraId="657D6ADF" w14:textId="77777777" w:rsidR="00486378" w:rsidRPr="00486378" w:rsidRDefault="00486378" w:rsidP="00074017">
      <w:pPr>
        <w:pStyle w:val="BodyText"/>
        <w:rPr>
          <w:lang w:eastAsia="de-DE"/>
        </w:rPr>
      </w:pPr>
    </w:p>
    <w:p w14:paraId="1779CA26" w14:textId="77777777" w:rsidR="00486378" w:rsidRPr="00486378" w:rsidRDefault="00486378" w:rsidP="00074017">
      <w:pPr>
        <w:pStyle w:val="BodyText"/>
        <w:rPr>
          <w:lang w:eastAsia="de-DE"/>
        </w:rPr>
      </w:pPr>
      <w:r w:rsidRPr="00486378">
        <w:rPr>
          <w:lang w:eastAsia="de-DE"/>
        </w:rPr>
        <w:t>Es wird eine Termintreue von 100% erwartet. Der Lieferant haftet im Falle einer verspäteten Lieferung für alle bei GRAMMER entstehenden Schäden.</w:t>
      </w:r>
    </w:p>
    <w:p w14:paraId="364CE52D" w14:textId="77777777" w:rsidR="00486378" w:rsidRPr="00486378" w:rsidRDefault="00486378" w:rsidP="00486378">
      <w:pPr>
        <w:tabs>
          <w:tab w:val="left" w:pos="720"/>
        </w:tabs>
        <w:ind w:left="720"/>
        <w:jc w:val="both"/>
        <w:rPr>
          <w:rFonts w:eastAsia="Times New Roman"/>
          <w:sz w:val="22"/>
          <w:szCs w:val="22"/>
          <w:lang w:eastAsia="de-DE"/>
        </w:rPr>
      </w:pPr>
    </w:p>
    <w:p w14:paraId="3F00D33A" w14:textId="77777777" w:rsidR="00486378" w:rsidRPr="00486378" w:rsidRDefault="00486378" w:rsidP="00074017">
      <w:pPr>
        <w:pStyle w:val="BodyText"/>
        <w:rPr>
          <w:lang w:eastAsia="de-DE"/>
        </w:rPr>
      </w:pPr>
      <w:r w:rsidRPr="00486378">
        <w:rPr>
          <w:lang w:eastAsia="de-DE"/>
        </w:rPr>
        <w:t>GRAMMER führt quartalsweise eine logistische Bewertung der Lieferanten durch. Hierbei werden Kennzahlen ermittelt, die das Lieferverhalten beschreiben. Die logistischen Kennzahlen fließen in ein gesamtheitliches Bewertungssystem des Einkaufs ein und werden bei der nächsten Lieferantenauswahl berücksichtigt.</w:t>
      </w:r>
    </w:p>
    <w:p w14:paraId="1DB436C8" w14:textId="77777777" w:rsidR="00486378" w:rsidRDefault="00486378" w:rsidP="00074017">
      <w:pPr>
        <w:pStyle w:val="BodyText"/>
        <w:rPr>
          <w:highlight w:val="yellow"/>
          <w:lang w:eastAsia="de-DE"/>
        </w:rPr>
      </w:pPr>
    </w:p>
    <w:p w14:paraId="25A660EA" w14:textId="77777777" w:rsidR="00C2485E" w:rsidRDefault="00C2485E" w:rsidP="00074017">
      <w:pPr>
        <w:pStyle w:val="BodyText"/>
        <w:rPr>
          <w:highlight w:val="yellow"/>
          <w:lang w:eastAsia="de-DE"/>
        </w:rPr>
      </w:pPr>
    </w:p>
    <w:p w14:paraId="7AE0A4B4" w14:textId="77777777" w:rsidR="00C2485E" w:rsidRPr="00486378" w:rsidRDefault="00C2485E" w:rsidP="00074017">
      <w:pPr>
        <w:pStyle w:val="BodyText"/>
        <w:rPr>
          <w:highlight w:val="yellow"/>
          <w:lang w:eastAsia="de-DE"/>
        </w:rPr>
      </w:pPr>
    </w:p>
    <w:p w14:paraId="171B9A55" w14:textId="77777777" w:rsidR="00486378" w:rsidRPr="00486378" w:rsidRDefault="00486378" w:rsidP="00074017">
      <w:pPr>
        <w:pStyle w:val="b2"/>
        <w:rPr>
          <w:lang w:eastAsia="de-DE"/>
        </w:rPr>
      </w:pPr>
      <w:bookmarkStart w:id="123" w:name="Reaktion"/>
      <w:bookmarkStart w:id="124" w:name="_Toc179342347"/>
      <w:bookmarkStart w:id="125" w:name="_Toc188346322"/>
      <w:r w:rsidRPr="00486378">
        <w:rPr>
          <w:lang w:eastAsia="de-DE"/>
        </w:rPr>
        <w:t>Reaktion</w:t>
      </w:r>
      <w:bookmarkEnd w:id="123"/>
      <w:r w:rsidRPr="00486378">
        <w:rPr>
          <w:lang w:eastAsia="de-DE"/>
        </w:rPr>
        <w:t xml:space="preserve"> bei Lieferengpässen</w:t>
      </w:r>
      <w:bookmarkEnd w:id="124"/>
      <w:bookmarkEnd w:id="125"/>
    </w:p>
    <w:p w14:paraId="18FC7BFC" w14:textId="77777777" w:rsidR="00486378" w:rsidRPr="00486378" w:rsidRDefault="00486378" w:rsidP="00074017">
      <w:pPr>
        <w:pStyle w:val="BodyText"/>
        <w:rPr>
          <w:lang w:eastAsia="de-DE"/>
        </w:rPr>
      </w:pPr>
      <w:r w:rsidRPr="00486378">
        <w:rPr>
          <w:lang w:eastAsia="de-DE"/>
        </w:rPr>
        <w:t>Bei Lieferschwierigkeiten ist der in dem betreffenden GRAMMER-Werk zuständige Disponent unaufgefordert proaktiv zu informieren. Der Lieferant hat in dem Zusammenhang Abstellmaßnahmen und verbindliche Anschlusstermine zu nennen. Dies entbindet den Lieferanten nicht von seiner Haftung für alle aufgrund von Verzug entstehenden Schäden.</w:t>
      </w:r>
    </w:p>
    <w:p w14:paraId="292D2281" w14:textId="77777777" w:rsidR="00486378" w:rsidRPr="00486378" w:rsidRDefault="00486378" w:rsidP="00074017">
      <w:pPr>
        <w:pStyle w:val="BodyText"/>
        <w:rPr>
          <w:lang w:eastAsia="de-DE"/>
        </w:rPr>
      </w:pPr>
    </w:p>
    <w:p w14:paraId="43916BEE" w14:textId="77777777" w:rsidR="00486378" w:rsidRDefault="00486378" w:rsidP="00074017">
      <w:pPr>
        <w:pStyle w:val="BodyText"/>
        <w:rPr>
          <w:lang w:eastAsia="de-DE"/>
        </w:rPr>
      </w:pPr>
      <w:r w:rsidRPr="00486378">
        <w:rPr>
          <w:lang w:eastAsia="de-DE"/>
        </w:rPr>
        <w:t>Jeder zu erwartende Lieferengpass, der Termin- oder Mengenauswirkung zur Folge hat, ist unverzüglich dem zuständigen Disponenten mitzuteilen. Dies ist im Einzelnen wie folgt geregelt:</w:t>
      </w:r>
    </w:p>
    <w:p w14:paraId="3CE664B9" w14:textId="77777777" w:rsidR="00C2485E" w:rsidRPr="00486378" w:rsidRDefault="00C2485E" w:rsidP="00074017">
      <w:pPr>
        <w:pStyle w:val="BodyText"/>
        <w:rPr>
          <w:lang w:eastAsia="de-DE"/>
        </w:rPr>
      </w:pPr>
    </w:p>
    <w:p w14:paraId="6DB2F02F" w14:textId="77777777" w:rsidR="00486378" w:rsidRPr="00486378" w:rsidRDefault="00486378" w:rsidP="00074017">
      <w:pPr>
        <w:pStyle w:val="Textkrper-Aufzhlung"/>
      </w:pPr>
      <w:r w:rsidRPr="00486378">
        <w:t>Bei Abrufveränderung im Langfristbereich (&gt; 3 Monate vor Anliefertermin) innerhalb von 14 Tagen.</w:t>
      </w:r>
    </w:p>
    <w:p w14:paraId="04B53942" w14:textId="77777777" w:rsidR="00486378" w:rsidRPr="00486378" w:rsidRDefault="00486378" w:rsidP="00074017">
      <w:pPr>
        <w:pStyle w:val="Textkrper-Aufzhlung"/>
      </w:pPr>
      <w:r w:rsidRPr="00486378">
        <w:t>Bei Abrufveränderung im Mittelfristbereich (&lt;= 3 Monate &gt; 10 Tage vor Anliefertermin) innerhalb von 3 Tagen.</w:t>
      </w:r>
    </w:p>
    <w:p w14:paraId="376247F5" w14:textId="77777777" w:rsidR="00486378" w:rsidRPr="00486378" w:rsidRDefault="00486378" w:rsidP="00074017">
      <w:pPr>
        <w:pStyle w:val="Textkrper-Aufzhlung"/>
      </w:pPr>
      <w:r w:rsidRPr="00486378">
        <w:t>Bei Abrufveränderung im Kurzfristbereich (&lt;= 10 Tage vor Anliefertermin) innerhalb von 24 Stunden.</w:t>
      </w:r>
    </w:p>
    <w:p w14:paraId="506F5792" w14:textId="77777777" w:rsidR="00486378" w:rsidRDefault="00486378" w:rsidP="00E07ECA">
      <w:pPr>
        <w:pStyle w:val="Textkrper-Aufzhlung"/>
        <w:numPr>
          <w:ilvl w:val="0"/>
          <w:numId w:val="0"/>
        </w:numPr>
        <w:ind w:left="357"/>
      </w:pPr>
    </w:p>
    <w:p w14:paraId="5A7F6683" w14:textId="77777777" w:rsidR="00C2485E" w:rsidRDefault="00C2485E" w:rsidP="00E07ECA">
      <w:pPr>
        <w:pStyle w:val="Textkrper-Aufzhlung"/>
        <w:numPr>
          <w:ilvl w:val="0"/>
          <w:numId w:val="0"/>
        </w:numPr>
        <w:ind w:left="357"/>
      </w:pPr>
    </w:p>
    <w:p w14:paraId="648C8DB3" w14:textId="77777777" w:rsidR="00C2485E" w:rsidRPr="00486378" w:rsidRDefault="00C2485E" w:rsidP="00E07ECA">
      <w:pPr>
        <w:pStyle w:val="Textkrper-Aufzhlung"/>
        <w:numPr>
          <w:ilvl w:val="0"/>
          <w:numId w:val="0"/>
        </w:numPr>
        <w:ind w:left="357"/>
      </w:pPr>
    </w:p>
    <w:p w14:paraId="7F24EB42" w14:textId="77777777" w:rsidR="00486378" w:rsidRPr="00486378" w:rsidRDefault="00C2485E" w:rsidP="00074017">
      <w:pPr>
        <w:pStyle w:val="b2"/>
        <w:rPr>
          <w:lang w:eastAsia="de-DE"/>
        </w:rPr>
      </w:pPr>
      <w:bookmarkStart w:id="126" w:name="Abrufverfahren"/>
      <w:bookmarkStart w:id="127" w:name="_Toc179342351"/>
      <w:r>
        <w:rPr>
          <w:lang w:eastAsia="de-DE"/>
        </w:rPr>
        <w:br w:type="page"/>
      </w:r>
      <w:bookmarkStart w:id="128" w:name="_Toc188346323"/>
      <w:r w:rsidR="00486378" w:rsidRPr="00486378">
        <w:rPr>
          <w:lang w:eastAsia="de-DE"/>
        </w:rPr>
        <w:t>Abrufverfahren</w:t>
      </w:r>
      <w:bookmarkEnd w:id="126"/>
      <w:bookmarkEnd w:id="127"/>
      <w:bookmarkEnd w:id="128"/>
    </w:p>
    <w:p w14:paraId="46623E02" w14:textId="77777777" w:rsidR="00486378" w:rsidRPr="00486378" w:rsidRDefault="00486378" w:rsidP="00074017">
      <w:pPr>
        <w:pStyle w:val="BodyText"/>
        <w:rPr>
          <w:lang w:eastAsia="de-DE"/>
        </w:rPr>
      </w:pPr>
      <w:bookmarkStart w:id="129" w:name="Freigabeverfahren"/>
      <w:r w:rsidRPr="00486378">
        <w:rPr>
          <w:lang w:eastAsia="de-DE"/>
        </w:rPr>
        <w:t>Es besteht die Möglichkeit, Materialien via Normalbestellung (mit Fax) oder Lieferabruf (VDA 4905) beim Lieferanten zu bestellen, fallweise auch nach VDA 4915 (Feinabruf) / VDA 4916 (produktionssynchroner Abruf), oder KANBAN - Abrufe.</w:t>
      </w:r>
    </w:p>
    <w:p w14:paraId="41F1B675" w14:textId="77777777" w:rsidR="00486378" w:rsidRPr="00486378" w:rsidRDefault="00486378" w:rsidP="00074017">
      <w:pPr>
        <w:pStyle w:val="BodyText"/>
        <w:rPr>
          <w:lang w:eastAsia="de-DE"/>
        </w:rPr>
      </w:pPr>
    </w:p>
    <w:p w14:paraId="70F17746" w14:textId="77777777" w:rsidR="00486378" w:rsidRPr="00486378" w:rsidRDefault="00486378" w:rsidP="00074017">
      <w:pPr>
        <w:pStyle w:val="BodyText"/>
        <w:rPr>
          <w:lang w:eastAsia="de-DE"/>
        </w:rPr>
      </w:pPr>
      <w:r w:rsidRPr="00486378">
        <w:rPr>
          <w:lang w:eastAsia="de-DE"/>
        </w:rPr>
        <w:t>Die Abrufe umfassen einen Zeitraum von bis zu 12 Monaten und geben daher neben kurzfristigen Bedarfen auch eine Vorschau auf die mittel- und längerfristige Bedarfsentwicklung.</w:t>
      </w:r>
    </w:p>
    <w:p w14:paraId="7A79B149" w14:textId="77777777" w:rsidR="00486378" w:rsidRPr="00486378" w:rsidRDefault="00486378" w:rsidP="00074017">
      <w:pPr>
        <w:pStyle w:val="BodyText"/>
        <w:rPr>
          <w:lang w:eastAsia="de-DE"/>
        </w:rPr>
      </w:pPr>
    </w:p>
    <w:p w14:paraId="29933D46" w14:textId="77777777" w:rsidR="00486378" w:rsidRPr="00486378" w:rsidRDefault="00486378" w:rsidP="00074017">
      <w:pPr>
        <w:pStyle w:val="BodyText"/>
        <w:rPr>
          <w:lang w:eastAsia="de-DE"/>
        </w:rPr>
      </w:pPr>
      <w:r w:rsidRPr="00486378">
        <w:rPr>
          <w:lang w:eastAsia="de-DE"/>
        </w:rPr>
        <w:t>Außerdem sind standortabhängig die weltweit gültigen Standardformate nach VDA, Odette, ANSI X.12 oder EDIFACT einzusetzen. Die genaue Definition der in den einzelnen Produktionsstandorten genutzten Nachrichtenformate sowie der technischen Anbindungsmöglichkeiten ist mit der GRAMMER Konzern-IT abzustimmen.</w:t>
      </w:r>
    </w:p>
    <w:p w14:paraId="10A274BC" w14:textId="77777777" w:rsidR="00486378" w:rsidRPr="00486378" w:rsidRDefault="00486378" w:rsidP="00074017">
      <w:pPr>
        <w:pStyle w:val="BodyText"/>
        <w:rPr>
          <w:lang w:eastAsia="de-DE"/>
        </w:rPr>
      </w:pPr>
    </w:p>
    <w:p w14:paraId="4364FCA8" w14:textId="77777777" w:rsidR="00486378" w:rsidRPr="00486378" w:rsidRDefault="00486378" w:rsidP="00074017">
      <w:pPr>
        <w:pStyle w:val="BodyText"/>
        <w:rPr>
          <w:lang w:eastAsia="de-DE"/>
        </w:rPr>
      </w:pPr>
      <w:r w:rsidRPr="00486378">
        <w:rPr>
          <w:lang w:eastAsia="de-DE"/>
        </w:rPr>
        <w:t>Alle notwendigen Hard- und Softwareausstattungen des Lieferanten sowie die Anpassung der EDV-Systeme des Lieferanten trägt der Lieferant selbst. Für jegliche EDI-Lösung ist stets eine Notfallstrategie vorzusehen.</w:t>
      </w:r>
    </w:p>
    <w:p w14:paraId="143D80E4" w14:textId="77777777" w:rsidR="00486378" w:rsidRPr="00486378" w:rsidRDefault="00486378" w:rsidP="00074017">
      <w:pPr>
        <w:pStyle w:val="BodyText"/>
        <w:rPr>
          <w:lang w:eastAsia="de-DE"/>
        </w:rPr>
      </w:pPr>
    </w:p>
    <w:p w14:paraId="168665BA" w14:textId="77777777" w:rsidR="00486378" w:rsidRPr="00486378" w:rsidRDefault="00486378" w:rsidP="00074017">
      <w:pPr>
        <w:pStyle w:val="BodyText"/>
        <w:rPr>
          <w:lang w:eastAsia="de-DE"/>
        </w:rPr>
      </w:pPr>
      <w:r w:rsidRPr="00486378">
        <w:rPr>
          <w:lang w:eastAsia="de-DE"/>
        </w:rPr>
        <w:t>Alternativ besteht die Möglichkeit, den Auftragsabwicklungsprozess auf die kostengünstigere Variante Web-EDI umzustellen. Beim Web-EDI System werden die an den Geschäftspartner zu übermittelnden Daten (Lieferabruf, Normalbestellung, etc.) auf einem Web-Server hinterlegt, auf dem sich der Lieferant zunächst mit einem Passwort einwählt und dann die Möglichkeit hat, die hinterlegten Daten anzusehen, auszudrucken oder in verschiedenen Formaten zu downloaden. Zudem ist es möglich, die Liefer- und Transportdaten zu erfassen und einen elektronischen Lieferschein zu erstellen sowie die entsprechenden Lieferpapiere auszudrucken.</w:t>
      </w:r>
    </w:p>
    <w:p w14:paraId="3CF93B34" w14:textId="77777777" w:rsidR="00486378" w:rsidRPr="00486378" w:rsidRDefault="00486378" w:rsidP="00074017">
      <w:pPr>
        <w:pStyle w:val="BodyText"/>
        <w:rPr>
          <w:lang w:eastAsia="de-DE"/>
        </w:rPr>
      </w:pPr>
    </w:p>
    <w:p w14:paraId="4061214B" w14:textId="77777777" w:rsidR="00486378" w:rsidRPr="00486378" w:rsidRDefault="00486378" w:rsidP="00074017">
      <w:pPr>
        <w:pStyle w:val="BodyText"/>
        <w:rPr>
          <w:lang w:eastAsia="de-DE"/>
        </w:rPr>
      </w:pPr>
      <w:r w:rsidRPr="00486378">
        <w:rPr>
          <w:lang w:eastAsia="de-DE"/>
        </w:rPr>
        <w:t>Bei dem Bestellverfahren über Lieferabruf erhält der Lieferant rollierend Bedarfsmengen / Bedarfsdaten durch einen Abruf nach VDA 4905.</w:t>
      </w:r>
    </w:p>
    <w:p w14:paraId="69470732" w14:textId="77777777" w:rsidR="00486378" w:rsidRPr="00486378" w:rsidRDefault="00486378" w:rsidP="00074017">
      <w:pPr>
        <w:pStyle w:val="BodyText"/>
        <w:rPr>
          <w:lang w:eastAsia="de-DE"/>
        </w:rPr>
      </w:pPr>
      <w:r w:rsidRPr="00486378">
        <w:rPr>
          <w:lang w:eastAsia="de-DE"/>
        </w:rPr>
        <w:t>Das jeweilige GRAMMER – Werk entscheidet, welches Bestellverfahren (Normalbestellung oder Lieferabruf) zum Einsatz kommt.</w:t>
      </w:r>
    </w:p>
    <w:p w14:paraId="64EBF7E8" w14:textId="77777777" w:rsidR="00486378" w:rsidRPr="00486378" w:rsidRDefault="00486378" w:rsidP="00074017">
      <w:pPr>
        <w:pStyle w:val="BodyText"/>
        <w:rPr>
          <w:lang w:eastAsia="de-DE"/>
        </w:rPr>
      </w:pPr>
    </w:p>
    <w:p w14:paraId="4B926AF4" w14:textId="77777777" w:rsidR="00C2329D" w:rsidRPr="00100319" w:rsidRDefault="00486378" w:rsidP="00C2329D">
      <w:pPr>
        <w:pStyle w:val="BodyText"/>
        <w:rPr>
          <w:lang w:eastAsia="de-DE"/>
        </w:rPr>
      </w:pPr>
      <w:r w:rsidRPr="00486378">
        <w:rPr>
          <w:lang w:eastAsia="de-DE"/>
        </w:rPr>
        <w:t>Lieferabrufe können via EDI (VDA 4905), Fax oder E-Mail übertragen werden</w:t>
      </w:r>
      <w:r w:rsidRPr="00100319">
        <w:rPr>
          <w:i/>
          <w:lang w:eastAsia="de-DE"/>
        </w:rPr>
        <w:t xml:space="preserve">. </w:t>
      </w:r>
      <w:r w:rsidR="00C2329D" w:rsidRPr="00100319">
        <w:rPr>
          <w:lang w:eastAsia="de-DE"/>
        </w:rPr>
        <w:t>Der Lieferant ist bei Übermittlung der Lieferplanabrufe per E-Mai selbst verantwortlich, dass die angegebene E-Mailadresse korrekt ist und der Prozess jederzeit von ihm überwacht wird.</w:t>
      </w:r>
    </w:p>
    <w:p w14:paraId="4B1DED27" w14:textId="77777777" w:rsidR="00486378" w:rsidRPr="00486378" w:rsidRDefault="00486378" w:rsidP="00074017">
      <w:pPr>
        <w:pStyle w:val="BodyText"/>
        <w:rPr>
          <w:lang w:eastAsia="de-DE"/>
        </w:rPr>
      </w:pPr>
      <w:r w:rsidRPr="00486378">
        <w:rPr>
          <w:lang w:eastAsia="de-DE"/>
        </w:rPr>
        <w:t>Des</w:t>
      </w:r>
      <w:r w:rsidR="00AC6BB7">
        <w:rPr>
          <w:lang w:eastAsia="de-DE"/>
        </w:rPr>
        <w:t xml:space="preserve"> W</w:t>
      </w:r>
      <w:r w:rsidRPr="00486378">
        <w:rPr>
          <w:lang w:eastAsia="de-DE"/>
        </w:rPr>
        <w:t>eiteren ist es möglich, die Abrufe ins GRAMMER – Lieferantenportal einzustellen. Die für den Portaluser anfallenden Kosten hat der Lieferant zu tragen.</w:t>
      </w:r>
    </w:p>
    <w:p w14:paraId="561FDB31" w14:textId="77777777" w:rsidR="00486378" w:rsidRPr="00486378" w:rsidRDefault="00486378" w:rsidP="00074017">
      <w:pPr>
        <w:pStyle w:val="BodyText"/>
        <w:rPr>
          <w:lang w:eastAsia="de-DE"/>
        </w:rPr>
      </w:pPr>
    </w:p>
    <w:p w14:paraId="1F28C177" w14:textId="77777777" w:rsidR="00486378" w:rsidRPr="00C2329D" w:rsidRDefault="00486378" w:rsidP="00074017">
      <w:pPr>
        <w:pStyle w:val="BodyText"/>
        <w:rPr>
          <w:b/>
          <w:lang w:eastAsia="de-DE"/>
        </w:rPr>
      </w:pPr>
      <w:r w:rsidRPr="00C2329D">
        <w:rPr>
          <w:b/>
          <w:lang w:eastAsia="de-DE"/>
        </w:rPr>
        <w:t xml:space="preserve">Die übermittelten Abruftermine sind immer </w:t>
      </w:r>
      <w:r w:rsidRPr="00C2329D">
        <w:rPr>
          <w:b/>
          <w:u w:val="single"/>
          <w:lang w:eastAsia="de-DE"/>
        </w:rPr>
        <w:t>Eintrefftermine</w:t>
      </w:r>
      <w:r w:rsidRPr="00C2329D">
        <w:rPr>
          <w:b/>
          <w:lang w:eastAsia="de-DE"/>
        </w:rPr>
        <w:t xml:space="preserve"> im bestellenden GRAMMER - Werk, </w:t>
      </w:r>
      <w:r w:rsidRPr="00C2329D">
        <w:rPr>
          <w:b/>
          <w:u w:val="single"/>
          <w:lang w:eastAsia="de-DE"/>
        </w:rPr>
        <w:t>unabhängig</w:t>
      </w:r>
      <w:r w:rsidRPr="00C2329D">
        <w:rPr>
          <w:b/>
          <w:lang w:eastAsia="de-DE"/>
        </w:rPr>
        <w:t xml:space="preserve"> vom vereinbarten </w:t>
      </w:r>
      <w:proofErr w:type="spellStart"/>
      <w:r w:rsidRPr="00C2329D">
        <w:rPr>
          <w:b/>
          <w:lang w:eastAsia="de-DE"/>
        </w:rPr>
        <w:t>Incoterm</w:t>
      </w:r>
      <w:proofErr w:type="spellEnd"/>
      <w:r w:rsidRPr="00C2329D">
        <w:rPr>
          <w:b/>
          <w:lang w:eastAsia="de-DE"/>
        </w:rPr>
        <w:t>.</w:t>
      </w:r>
    </w:p>
    <w:p w14:paraId="7992C3D3" w14:textId="77777777" w:rsidR="00486378" w:rsidRPr="00486378" w:rsidRDefault="00486378" w:rsidP="00074017">
      <w:pPr>
        <w:pStyle w:val="BodyText"/>
        <w:rPr>
          <w:lang w:eastAsia="de-DE"/>
        </w:rPr>
      </w:pPr>
    </w:p>
    <w:p w14:paraId="0E6F6E71" w14:textId="77777777" w:rsidR="00486378" w:rsidRPr="00486378" w:rsidRDefault="00486378" w:rsidP="00074017">
      <w:pPr>
        <w:pStyle w:val="BodyText"/>
        <w:rPr>
          <w:lang w:eastAsia="de-DE"/>
        </w:rPr>
      </w:pPr>
      <w:r w:rsidRPr="00486378">
        <w:rPr>
          <w:lang w:eastAsia="de-DE"/>
        </w:rPr>
        <w:t>Bei Anbindung über Wall - to - Wall - Prozesse bzw. Lieferantenkonsignation erfolgt der Abruf via KANBAN.</w:t>
      </w:r>
    </w:p>
    <w:p w14:paraId="63EC9108" w14:textId="77777777" w:rsidR="00486378" w:rsidRPr="00486378" w:rsidRDefault="00486378" w:rsidP="00074017">
      <w:pPr>
        <w:pStyle w:val="BodyText"/>
        <w:rPr>
          <w:lang w:eastAsia="de-DE"/>
        </w:rPr>
      </w:pPr>
      <w:r w:rsidRPr="00486378">
        <w:rPr>
          <w:lang w:eastAsia="de-DE"/>
        </w:rPr>
        <w:t>Der Lieferant hat hier sicherzustellen, dass im Lieferantenlager die vereinbarten MIN / MAX - Bestände eingehalten werden.</w:t>
      </w:r>
    </w:p>
    <w:p w14:paraId="0584D1A7" w14:textId="77777777" w:rsidR="00AC6BB7" w:rsidRDefault="00486378" w:rsidP="00074017">
      <w:pPr>
        <w:pStyle w:val="BodyText"/>
        <w:rPr>
          <w:lang w:eastAsia="de-DE"/>
        </w:rPr>
      </w:pPr>
      <w:r w:rsidRPr="00486378">
        <w:rPr>
          <w:lang w:eastAsia="de-DE"/>
        </w:rPr>
        <w:t xml:space="preserve">Hierzu wird dem Lieferanten die Möglichkeit gegeben, die aktuellen Bestände im GRAMMER - </w:t>
      </w:r>
      <w:r w:rsidR="00E07ECA">
        <w:rPr>
          <w:lang w:eastAsia="de-DE"/>
        </w:rPr>
        <w:t>Lieferantenportal einzusehen.</w:t>
      </w:r>
    </w:p>
    <w:p w14:paraId="536B9CCE" w14:textId="77777777" w:rsidR="00C2485E" w:rsidRDefault="00C2485E" w:rsidP="00074017">
      <w:pPr>
        <w:pStyle w:val="BodyText"/>
        <w:rPr>
          <w:lang w:eastAsia="de-DE"/>
        </w:rPr>
      </w:pPr>
    </w:p>
    <w:p w14:paraId="626B59F5" w14:textId="77777777" w:rsidR="00486378" w:rsidRPr="00486378" w:rsidRDefault="00486378" w:rsidP="00074017">
      <w:pPr>
        <w:pStyle w:val="BodyText"/>
        <w:rPr>
          <w:lang w:eastAsia="de-DE"/>
        </w:rPr>
      </w:pPr>
    </w:p>
    <w:p w14:paraId="4B670503" w14:textId="77777777" w:rsidR="00486378" w:rsidRPr="00486378" w:rsidRDefault="00C2485E" w:rsidP="00074017">
      <w:pPr>
        <w:pStyle w:val="b2"/>
        <w:rPr>
          <w:lang w:eastAsia="de-DE"/>
        </w:rPr>
      </w:pPr>
      <w:bookmarkStart w:id="130" w:name="_Toc179342352"/>
      <w:r>
        <w:rPr>
          <w:lang w:eastAsia="de-DE"/>
        </w:rPr>
        <w:br w:type="page"/>
      </w:r>
      <w:bookmarkStart w:id="131" w:name="_Toc188346324"/>
      <w:r w:rsidR="00486378" w:rsidRPr="00486378">
        <w:rPr>
          <w:lang w:eastAsia="de-DE"/>
        </w:rPr>
        <w:t>Freigabeverfahren</w:t>
      </w:r>
      <w:bookmarkEnd w:id="129"/>
      <w:r w:rsidR="00486378" w:rsidRPr="00486378">
        <w:rPr>
          <w:lang w:eastAsia="de-DE"/>
        </w:rPr>
        <w:t xml:space="preserve"> und Wiederbeschaffungszeiten</w:t>
      </w:r>
      <w:bookmarkEnd w:id="130"/>
      <w:bookmarkEnd w:id="131"/>
    </w:p>
    <w:p w14:paraId="4A382B57" w14:textId="77777777" w:rsidR="00486378" w:rsidRPr="00074017" w:rsidRDefault="00486378" w:rsidP="00486378">
      <w:pPr>
        <w:pStyle w:val="b3"/>
        <w:rPr>
          <w:lang w:eastAsia="de-DE"/>
        </w:rPr>
      </w:pPr>
      <w:bookmarkStart w:id="132" w:name="_Toc179342353"/>
      <w:r w:rsidRPr="00486378">
        <w:rPr>
          <w:lang w:eastAsia="de-DE"/>
        </w:rPr>
        <w:t xml:space="preserve">Freigabeverfahren bei </w:t>
      </w:r>
      <w:bookmarkStart w:id="133" w:name="LAB"/>
      <w:r w:rsidRPr="00486378">
        <w:rPr>
          <w:lang w:eastAsia="de-DE"/>
        </w:rPr>
        <w:t>LAB</w:t>
      </w:r>
      <w:bookmarkEnd w:id="132"/>
      <w:bookmarkEnd w:id="133"/>
    </w:p>
    <w:p w14:paraId="67E38DFB" w14:textId="77777777" w:rsidR="00486378" w:rsidRPr="00486378" w:rsidRDefault="00486378" w:rsidP="00074017">
      <w:pPr>
        <w:pStyle w:val="BodyText"/>
        <w:rPr>
          <w:lang w:eastAsia="de-DE"/>
        </w:rPr>
      </w:pPr>
      <w:r w:rsidRPr="00486378">
        <w:rPr>
          <w:lang w:eastAsia="de-DE"/>
        </w:rPr>
        <w:t>Die Fertigungs- und Materialfreigabe bezeichnet den Zeitraum, für den GRAMMER sich zur Abnahme des bestellten Teils oder Vormaterials verpflichtet. Der Standardwert für die Fertigungsfreigabe beträgt vier Wochen, der Standardwert für die Materialfreigabe beträgt weitere vier Wochen. Die Freigabezeiträume können nach Notwendigkeit einzelvertraglich angepasst werden. Die vereinbarten Freigabezeiträume werden im Logistiklastenheft festgehalten.</w:t>
      </w:r>
    </w:p>
    <w:p w14:paraId="1FCACD2C" w14:textId="77777777" w:rsidR="00486378" w:rsidRPr="00486378" w:rsidRDefault="00486378" w:rsidP="00074017">
      <w:pPr>
        <w:pStyle w:val="BodyText"/>
        <w:rPr>
          <w:lang w:eastAsia="de-DE"/>
        </w:rPr>
      </w:pPr>
      <w:r w:rsidRPr="00486378">
        <w:rPr>
          <w:lang w:eastAsia="de-DE"/>
        </w:rPr>
        <w:t>Der Zeitraum Fertigungs- und Materialfreigabe beginnt mit dem Lieferabruf- Erstellungsdatum und gilt, sofern kein neuer Lieferabruf vorliegt, täglich fortschreitend, für den angegebenen Zeitraum. Die maximale Freigabemenge berechnet sich aus der Wareneingangsfortschrittszahl bei Abruferstellung plus den im Freigabezeitraum genannten Bedarfsmengen.</w:t>
      </w:r>
    </w:p>
    <w:p w14:paraId="422DD58B" w14:textId="77777777" w:rsidR="00486378" w:rsidRPr="00486378" w:rsidRDefault="00486378" w:rsidP="00074017">
      <w:pPr>
        <w:pStyle w:val="BodyText"/>
        <w:rPr>
          <w:lang w:eastAsia="de-DE"/>
        </w:rPr>
      </w:pPr>
      <w:r w:rsidRPr="00486378">
        <w:rPr>
          <w:lang w:eastAsia="de-DE"/>
        </w:rPr>
        <w:t xml:space="preserve">Die </w:t>
      </w:r>
      <w:proofErr w:type="gramStart"/>
      <w:r w:rsidRPr="00486378">
        <w:rPr>
          <w:lang w:eastAsia="de-DE"/>
        </w:rPr>
        <w:t>darüber hinausgehenden</w:t>
      </w:r>
      <w:proofErr w:type="gramEnd"/>
      <w:r w:rsidRPr="00486378">
        <w:rPr>
          <w:lang w:eastAsia="de-DE"/>
        </w:rPr>
        <w:t xml:space="preserve"> Bedarfsmengen sind Planzahlen, die nur zur Information dienen. Die Anlieferung muss sich am neuesten Lieferabruf orientieren. </w:t>
      </w:r>
    </w:p>
    <w:p w14:paraId="7366170D" w14:textId="77777777" w:rsidR="00486378" w:rsidRDefault="00486378" w:rsidP="00C2485E">
      <w:pPr>
        <w:pStyle w:val="BodyText"/>
        <w:rPr>
          <w:lang w:eastAsia="de-DE"/>
        </w:rPr>
      </w:pPr>
    </w:p>
    <w:p w14:paraId="2E8F3A98" w14:textId="77777777" w:rsidR="00C2485E" w:rsidRDefault="00C2485E" w:rsidP="00C2485E">
      <w:pPr>
        <w:pStyle w:val="BodyText"/>
        <w:rPr>
          <w:lang w:eastAsia="de-DE"/>
        </w:rPr>
      </w:pPr>
    </w:p>
    <w:p w14:paraId="47C7B036" w14:textId="77777777" w:rsidR="00C2485E" w:rsidRPr="00486378" w:rsidRDefault="00C2485E" w:rsidP="00C2485E">
      <w:pPr>
        <w:pStyle w:val="BodyText"/>
        <w:rPr>
          <w:lang w:eastAsia="de-DE"/>
        </w:rPr>
      </w:pPr>
    </w:p>
    <w:p w14:paraId="52BFDD09" w14:textId="77777777" w:rsidR="00486378" w:rsidRPr="00486378" w:rsidRDefault="00486378" w:rsidP="00074017">
      <w:pPr>
        <w:pStyle w:val="b3"/>
        <w:rPr>
          <w:lang w:eastAsia="de-DE"/>
        </w:rPr>
      </w:pPr>
      <w:bookmarkStart w:id="134" w:name="_Toc179342354"/>
      <w:r w:rsidRPr="00486378">
        <w:rPr>
          <w:lang w:eastAsia="de-DE"/>
        </w:rPr>
        <w:t xml:space="preserve">Freigabe </w:t>
      </w:r>
      <w:bookmarkStart w:id="135" w:name="monatlicher"/>
      <w:r w:rsidRPr="00486378">
        <w:rPr>
          <w:lang w:eastAsia="de-DE"/>
        </w:rPr>
        <w:t>bei monatlicher</w:t>
      </w:r>
      <w:bookmarkEnd w:id="135"/>
      <w:r w:rsidRPr="00486378">
        <w:rPr>
          <w:lang w:eastAsia="de-DE"/>
        </w:rPr>
        <w:t xml:space="preserve"> Planinformation für den Lieferanten (</w:t>
      </w:r>
      <w:proofErr w:type="spellStart"/>
      <w:r w:rsidRPr="00486378">
        <w:rPr>
          <w:lang w:eastAsia="de-DE"/>
        </w:rPr>
        <w:t>Seating</w:t>
      </w:r>
      <w:proofErr w:type="spellEnd"/>
      <w:r w:rsidRPr="00486378">
        <w:rPr>
          <w:lang w:eastAsia="de-DE"/>
        </w:rPr>
        <w:t xml:space="preserve"> Systems)</w:t>
      </w:r>
      <w:bookmarkEnd w:id="134"/>
    </w:p>
    <w:p w14:paraId="258F7ECF" w14:textId="77777777" w:rsidR="00486378" w:rsidRPr="00486378" w:rsidRDefault="00486378" w:rsidP="00074017">
      <w:pPr>
        <w:pStyle w:val="BodyText"/>
        <w:rPr>
          <w:lang w:eastAsia="de-DE"/>
        </w:rPr>
      </w:pPr>
      <w:r w:rsidRPr="00486378">
        <w:rPr>
          <w:lang w:eastAsia="de-DE"/>
        </w:rPr>
        <w:t>Die Fertigteilfreigabe umfasst für die Lieferanten, die eine monatliche Planinformation erhalten (nicht über den LAB, sondern per Web-EDI / E-Mail), jeweils den ersten übermittelten Planmonat, die Materialfreigabe zusätzlich den zweiten übermittelten Planmonat.</w:t>
      </w:r>
    </w:p>
    <w:p w14:paraId="0D008B31" w14:textId="77777777" w:rsidR="00486378" w:rsidRPr="00486378" w:rsidRDefault="00486378" w:rsidP="00074017">
      <w:pPr>
        <w:pStyle w:val="BodyText"/>
        <w:rPr>
          <w:lang w:eastAsia="de-DE"/>
        </w:rPr>
      </w:pPr>
      <w:r w:rsidRPr="00486378">
        <w:rPr>
          <w:lang w:eastAsia="de-DE"/>
        </w:rPr>
        <w:t>Werden zwischen GRAMMER und dem Lieferanten im Einzelfall Sicherheitsbestände vereinbart und sind diese größer als 1 Monat des gemeldeten Jahresbedarfs oder größer als die in der monatlichen Planung übermittelten Mengen, gilt die Fertigteilfreigabe für den kompletten Sicherheitsbestand.</w:t>
      </w:r>
    </w:p>
    <w:p w14:paraId="68E88EEB" w14:textId="77777777" w:rsidR="00486378" w:rsidRPr="00486378" w:rsidRDefault="00486378" w:rsidP="00074017">
      <w:pPr>
        <w:pStyle w:val="BodyText"/>
        <w:rPr>
          <w:lang w:eastAsia="de-DE"/>
        </w:rPr>
      </w:pPr>
      <w:r w:rsidRPr="00486378">
        <w:rPr>
          <w:lang w:eastAsia="de-DE"/>
        </w:rPr>
        <w:t>Sind die monatlichen Planmengen in den Freigabezeiträumen kleiner als die vereinbarten Losgrößen, so gilt für die Freigabe für diese vereinbarte Losgröße.</w:t>
      </w:r>
    </w:p>
    <w:p w14:paraId="3CBFCF72" w14:textId="77777777" w:rsidR="00486378" w:rsidRDefault="00486378" w:rsidP="00074017">
      <w:pPr>
        <w:pStyle w:val="BodyText"/>
        <w:rPr>
          <w:lang w:eastAsia="de-DE"/>
        </w:rPr>
      </w:pPr>
    </w:p>
    <w:p w14:paraId="25862ED8" w14:textId="77777777" w:rsidR="00C2485E" w:rsidRDefault="00C2485E" w:rsidP="00074017">
      <w:pPr>
        <w:pStyle w:val="BodyText"/>
        <w:rPr>
          <w:lang w:eastAsia="de-DE"/>
        </w:rPr>
      </w:pPr>
    </w:p>
    <w:p w14:paraId="27BFD38F" w14:textId="77777777" w:rsidR="00C2485E" w:rsidRPr="00C2485E" w:rsidRDefault="00C2485E" w:rsidP="00074017">
      <w:pPr>
        <w:pStyle w:val="BodyText"/>
        <w:rPr>
          <w:lang w:eastAsia="de-DE"/>
        </w:rPr>
      </w:pPr>
    </w:p>
    <w:p w14:paraId="0523EC8B" w14:textId="77777777" w:rsidR="00486378" w:rsidRPr="00486378" w:rsidRDefault="00486378" w:rsidP="00074017">
      <w:pPr>
        <w:pStyle w:val="b3"/>
        <w:rPr>
          <w:lang w:eastAsia="de-DE"/>
        </w:rPr>
      </w:pPr>
      <w:bookmarkStart w:id="136" w:name="_Toc179342355"/>
      <w:r w:rsidRPr="00486378">
        <w:rPr>
          <w:lang w:eastAsia="de-DE"/>
        </w:rPr>
        <w:t xml:space="preserve">Freigabe </w:t>
      </w:r>
      <w:bookmarkStart w:id="137" w:name="ohne"/>
      <w:r w:rsidRPr="00486378">
        <w:rPr>
          <w:lang w:eastAsia="de-DE"/>
        </w:rPr>
        <w:t>ohne</w:t>
      </w:r>
      <w:bookmarkEnd w:id="137"/>
      <w:r w:rsidRPr="00486378">
        <w:rPr>
          <w:lang w:eastAsia="de-DE"/>
        </w:rPr>
        <w:t xml:space="preserve"> monatliche Planinformation für den Lieferanten (</w:t>
      </w:r>
      <w:proofErr w:type="spellStart"/>
      <w:r w:rsidRPr="00486378">
        <w:rPr>
          <w:lang w:eastAsia="de-DE"/>
        </w:rPr>
        <w:t>Seating</w:t>
      </w:r>
      <w:proofErr w:type="spellEnd"/>
      <w:r w:rsidRPr="00486378">
        <w:rPr>
          <w:lang w:eastAsia="de-DE"/>
        </w:rPr>
        <w:t xml:space="preserve"> Systems)</w:t>
      </w:r>
      <w:bookmarkEnd w:id="136"/>
    </w:p>
    <w:p w14:paraId="4E3650EF" w14:textId="77777777" w:rsidR="00486378" w:rsidRPr="00486378" w:rsidRDefault="00486378" w:rsidP="00074017">
      <w:pPr>
        <w:pStyle w:val="BodyText"/>
        <w:rPr>
          <w:lang w:eastAsia="de-DE"/>
        </w:rPr>
      </w:pPr>
      <w:r w:rsidRPr="00486378">
        <w:rPr>
          <w:lang w:eastAsia="de-DE"/>
        </w:rPr>
        <w:t>Solange ein Lieferant noch nicht die monatlich rollierende Planinformation erhält, umfasst die Fertigteilfreigabe 1 Monat des gemeldeten Jahresbedarfs, die Materialfreigabe zusätzlich 1 Monat.</w:t>
      </w:r>
    </w:p>
    <w:p w14:paraId="14CBC2C2" w14:textId="77777777" w:rsidR="00486378" w:rsidRPr="00486378" w:rsidRDefault="00486378" w:rsidP="00074017">
      <w:pPr>
        <w:pStyle w:val="BodyText"/>
        <w:rPr>
          <w:lang w:eastAsia="de-DE"/>
        </w:rPr>
      </w:pPr>
      <w:r w:rsidRPr="00486378">
        <w:rPr>
          <w:lang w:eastAsia="de-DE"/>
        </w:rPr>
        <w:t>Werden zwischen Auftraggeber und Auftragnehmer im Einzelfall Sicherheitsbestände vereinbart und ist der Sicherheitsbestand größer als 1 Monat des gemeldeten Jahresbedarfs, gilt die Fertigteilfreigabe für den kompletten Sicherheitsbestand.</w:t>
      </w:r>
    </w:p>
    <w:p w14:paraId="67FB4F76" w14:textId="77777777" w:rsidR="00486378" w:rsidRDefault="00486378" w:rsidP="00074017">
      <w:pPr>
        <w:pStyle w:val="BodyText"/>
        <w:rPr>
          <w:lang w:eastAsia="de-DE"/>
        </w:rPr>
      </w:pPr>
      <w:r w:rsidRPr="00486378">
        <w:rPr>
          <w:lang w:eastAsia="de-DE"/>
        </w:rPr>
        <w:t>Sind die monatlichen Planmengen in den Freigabezeiträumen kleiner als die vereinbarten Losgrößen, so gilt für die Freigabe für diese vereinbarte Losgröße.</w:t>
      </w:r>
    </w:p>
    <w:p w14:paraId="2F244A8B" w14:textId="77777777" w:rsidR="00C2485E" w:rsidRDefault="00C2485E" w:rsidP="00074017">
      <w:pPr>
        <w:pStyle w:val="BodyText"/>
        <w:rPr>
          <w:lang w:eastAsia="de-DE"/>
        </w:rPr>
      </w:pPr>
    </w:p>
    <w:p w14:paraId="1E4C86D2" w14:textId="77777777" w:rsidR="00C2485E" w:rsidRDefault="00C2485E" w:rsidP="00074017">
      <w:pPr>
        <w:pStyle w:val="BodyText"/>
        <w:rPr>
          <w:lang w:eastAsia="de-DE"/>
        </w:rPr>
      </w:pPr>
    </w:p>
    <w:p w14:paraId="78DCF556" w14:textId="77777777" w:rsidR="00C2485E" w:rsidRPr="00486378" w:rsidRDefault="00C2485E" w:rsidP="00074017">
      <w:pPr>
        <w:pStyle w:val="BodyText"/>
        <w:rPr>
          <w:lang w:eastAsia="de-DE"/>
        </w:rPr>
      </w:pPr>
    </w:p>
    <w:p w14:paraId="4FBCD648" w14:textId="77777777" w:rsidR="00486378" w:rsidRPr="00486378" w:rsidRDefault="00C2485E" w:rsidP="00074017">
      <w:pPr>
        <w:pStyle w:val="b3"/>
        <w:rPr>
          <w:lang w:eastAsia="de-DE"/>
        </w:rPr>
      </w:pPr>
      <w:bookmarkStart w:id="138" w:name="Regelung"/>
      <w:bookmarkStart w:id="139" w:name="_Toc179342356"/>
      <w:r>
        <w:rPr>
          <w:lang w:eastAsia="de-DE"/>
        </w:rPr>
        <w:br w:type="page"/>
      </w:r>
      <w:r w:rsidR="00486378" w:rsidRPr="00486378">
        <w:rPr>
          <w:lang w:eastAsia="de-DE"/>
        </w:rPr>
        <w:t>Regelung</w:t>
      </w:r>
      <w:bookmarkEnd w:id="138"/>
      <w:r w:rsidR="00486378" w:rsidRPr="00486378">
        <w:rPr>
          <w:lang w:eastAsia="de-DE"/>
        </w:rPr>
        <w:t xml:space="preserve"> für den Produktanlauf</w:t>
      </w:r>
      <w:bookmarkEnd w:id="139"/>
    </w:p>
    <w:p w14:paraId="1A7573AE" w14:textId="77777777" w:rsidR="00486378" w:rsidRPr="00486378" w:rsidRDefault="00486378" w:rsidP="00074017">
      <w:pPr>
        <w:pStyle w:val="BodyText"/>
        <w:rPr>
          <w:lang w:eastAsia="de-DE"/>
        </w:rPr>
      </w:pPr>
      <w:r w:rsidRPr="00486378">
        <w:rPr>
          <w:lang w:eastAsia="de-DE"/>
        </w:rPr>
        <w:t xml:space="preserve">Die Losgrößen werden während der Anlaufphase eines Neuproduktes individuell abgestimmt. Der Lieferant hat dafür Sorge zu tragen, dass ausreichend Sicherheitsbestand in der Anlaufphase </w:t>
      </w:r>
      <w:proofErr w:type="gramStart"/>
      <w:r w:rsidRPr="00486378">
        <w:rPr>
          <w:lang w:eastAsia="de-DE"/>
        </w:rPr>
        <w:t>bereit steht</w:t>
      </w:r>
      <w:proofErr w:type="gramEnd"/>
      <w:r w:rsidRPr="00486378">
        <w:rPr>
          <w:lang w:eastAsia="de-DE"/>
        </w:rPr>
        <w:t>, um möglichst flexibel auf Abrufe reagieren zu können. Für die Produktionsplanung und -optimierung werden dem Lieferanten durch den technischen Einkauf projektbezogene Planvorschauen zur Verfügung gestellt. Die abgestimmten Liefertermine sind uneingeschränkt zu erfüllen, um die Produktionsphasen in der Produktentstehung nicht zu gefährden. Sie gelten somit als Fixtermine.</w:t>
      </w:r>
    </w:p>
    <w:p w14:paraId="26E3A6CA" w14:textId="77777777" w:rsidR="00C2485E" w:rsidRDefault="00C2485E" w:rsidP="00C2485E">
      <w:pPr>
        <w:pStyle w:val="BodyText"/>
        <w:rPr>
          <w:lang w:eastAsia="de-DE"/>
        </w:rPr>
      </w:pPr>
      <w:bookmarkStart w:id="140" w:name="_Toc179342357"/>
    </w:p>
    <w:p w14:paraId="06825F4A" w14:textId="77777777" w:rsidR="00C2485E" w:rsidRDefault="00C2485E" w:rsidP="00C2485E">
      <w:pPr>
        <w:pStyle w:val="BodyText"/>
        <w:rPr>
          <w:lang w:eastAsia="de-DE"/>
        </w:rPr>
      </w:pPr>
    </w:p>
    <w:p w14:paraId="528E4D6F" w14:textId="77777777" w:rsidR="00C2485E" w:rsidRDefault="00C2485E" w:rsidP="00C2485E">
      <w:pPr>
        <w:pStyle w:val="BodyText"/>
        <w:rPr>
          <w:lang w:eastAsia="de-DE"/>
        </w:rPr>
      </w:pPr>
    </w:p>
    <w:p w14:paraId="383D73F7" w14:textId="77777777" w:rsidR="00486378" w:rsidRPr="00486378" w:rsidRDefault="00486378" w:rsidP="00074017">
      <w:pPr>
        <w:pStyle w:val="b3"/>
        <w:rPr>
          <w:lang w:eastAsia="de-DE"/>
        </w:rPr>
      </w:pPr>
      <w:r w:rsidRPr="00486378">
        <w:rPr>
          <w:lang w:eastAsia="de-DE"/>
        </w:rPr>
        <w:t>Regelung für den Produktauslauf</w:t>
      </w:r>
      <w:bookmarkEnd w:id="140"/>
    </w:p>
    <w:p w14:paraId="2896A000" w14:textId="77777777" w:rsidR="00486378" w:rsidRPr="00486378" w:rsidRDefault="00486378" w:rsidP="00074017">
      <w:pPr>
        <w:pStyle w:val="BodyText"/>
        <w:rPr>
          <w:lang w:eastAsia="de-DE"/>
        </w:rPr>
      </w:pPr>
      <w:r w:rsidRPr="00486378">
        <w:rPr>
          <w:lang w:eastAsia="de-DE"/>
        </w:rPr>
        <w:t xml:space="preserve">Bei Entfall oder Auslauf eines Teiles informiert GRAMMER den Lieferanten vor Entfall bzw. Auslauf in geeigneter Weise. </w:t>
      </w:r>
    </w:p>
    <w:p w14:paraId="3584EE9A" w14:textId="77777777" w:rsidR="00486378" w:rsidRPr="00486378" w:rsidRDefault="00486378" w:rsidP="00074017">
      <w:pPr>
        <w:pStyle w:val="BodyText"/>
        <w:rPr>
          <w:lang w:eastAsia="de-DE"/>
        </w:rPr>
      </w:pPr>
    </w:p>
    <w:p w14:paraId="47C2522D" w14:textId="77777777" w:rsidR="00486378" w:rsidRPr="00486378" w:rsidRDefault="00486378" w:rsidP="00074017">
      <w:pPr>
        <w:pStyle w:val="BodyText"/>
        <w:rPr>
          <w:lang w:eastAsia="de-DE"/>
        </w:rPr>
      </w:pPr>
      <w:r w:rsidRPr="00486378">
        <w:rPr>
          <w:lang w:eastAsia="de-DE"/>
        </w:rPr>
        <w:t>Ab diesem Zeitpunkt sind bisherige Vereinbarungen über</w:t>
      </w:r>
    </w:p>
    <w:p w14:paraId="04D76616" w14:textId="77777777" w:rsidR="00486378" w:rsidRPr="00486378" w:rsidRDefault="00486378" w:rsidP="00074017">
      <w:pPr>
        <w:pStyle w:val="BodyText"/>
        <w:rPr>
          <w:lang w:eastAsia="de-DE"/>
        </w:rPr>
      </w:pPr>
    </w:p>
    <w:p w14:paraId="56741662" w14:textId="77777777" w:rsidR="00486378" w:rsidRPr="00486378" w:rsidRDefault="00486378" w:rsidP="00074017">
      <w:pPr>
        <w:pStyle w:val="Textkrper-Aufzhlung"/>
      </w:pPr>
      <w:r w:rsidRPr="00486378">
        <w:t>Fertigungslosgrößen</w:t>
      </w:r>
    </w:p>
    <w:p w14:paraId="3E8B96E0" w14:textId="77777777" w:rsidR="00486378" w:rsidRPr="00486378" w:rsidRDefault="00486378" w:rsidP="00074017">
      <w:pPr>
        <w:pStyle w:val="Textkrper-Aufzhlung"/>
      </w:pPr>
      <w:r w:rsidRPr="00486378">
        <w:t>Lieferlosgrößen,</w:t>
      </w:r>
    </w:p>
    <w:p w14:paraId="0C27F116" w14:textId="77777777" w:rsidR="00486378" w:rsidRPr="00486378" w:rsidRDefault="00486378" w:rsidP="00074017">
      <w:pPr>
        <w:pStyle w:val="Textkrper-Aufzhlung"/>
      </w:pPr>
      <w:r w:rsidRPr="00486378">
        <w:t xml:space="preserve">Verpackungsmengen, wie im Verpackungsdatenblatt informiert, </w:t>
      </w:r>
    </w:p>
    <w:p w14:paraId="73588712" w14:textId="77777777" w:rsidR="00486378" w:rsidRPr="00486378" w:rsidRDefault="00486378" w:rsidP="00074017">
      <w:pPr>
        <w:pStyle w:val="Textkrper-Aufzhlung"/>
      </w:pPr>
      <w:r w:rsidRPr="00486378">
        <w:t>Anliefer- bzw. Abholfrequenzen,</w:t>
      </w:r>
    </w:p>
    <w:p w14:paraId="2642B294" w14:textId="77777777" w:rsidR="00486378" w:rsidRPr="00486378" w:rsidRDefault="00486378" w:rsidP="00074017">
      <w:pPr>
        <w:pStyle w:val="Textkrper-Aufzhlung"/>
      </w:pPr>
      <w:r w:rsidRPr="00486378">
        <w:t>Mindestabnahmemengen</w:t>
      </w:r>
    </w:p>
    <w:p w14:paraId="67C9A71D" w14:textId="77777777" w:rsidR="00486378" w:rsidRPr="00486378" w:rsidRDefault="00486378" w:rsidP="00074017">
      <w:pPr>
        <w:pStyle w:val="Textkrper-Aufzhlung"/>
        <w:numPr>
          <w:ilvl w:val="0"/>
          <w:numId w:val="0"/>
        </w:numPr>
        <w:ind w:left="357"/>
      </w:pPr>
    </w:p>
    <w:p w14:paraId="3E1CEB16" w14:textId="77777777" w:rsidR="00486378" w:rsidRPr="00486378" w:rsidRDefault="00486378" w:rsidP="00074017">
      <w:pPr>
        <w:pStyle w:val="BodyText"/>
        <w:rPr>
          <w:lang w:eastAsia="de-DE"/>
        </w:rPr>
      </w:pPr>
      <w:r w:rsidRPr="00486378">
        <w:rPr>
          <w:lang w:eastAsia="de-DE"/>
        </w:rPr>
        <w:t>nicht mehr gültig und bedürfen der Absprache mit dem GRAMMER-Disponenten. Die Art und Weise der im Verpackungsdatenblatt festgelegten Verpackung bleibt hiervon unberührt.</w:t>
      </w:r>
    </w:p>
    <w:p w14:paraId="767385E1" w14:textId="77777777" w:rsidR="00486378" w:rsidRPr="00486378" w:rsidRDefault="00486378" w:rsidP="00074017">
      <w:pPr>
        <w:pStyle w:val="BodyText"/>
        <w:rPr>
          <w:lang w:eastAsia="de-DE"/>
        </w:rPr>
      </w:pPr>
    </w:p>
    <w:p w14:paraId="48E3EF3D" w14:textId="77777777" w:rsidR="00486378" w:rsidRPr="00486378" w:rsidRDefault="00486378" w:rsidP="00074017">
      <w:pPr>
        <w:pStyle w:val="BodyText"/>
        <w:rPr>
          <w:lang w:eastAsia="de-DE"/>
        </w:rPr>
      </w:pPr>
      <w:r w:rsidRPr="00486378">
        <w:rPr>
          <w:lang w:eastAsia="de-DE"/>
        </w:rPr>
        <w:t>Während der Auslaufphase eines Produktes / einer Komponente kann von der lt. Lastenheft vereinbarten Losgröße im System abgewichen werden.</w:t>
      </w:r>
    </w:p>
    <w:p w14:paraId="6B5DE394" w14:textId="77777777" w:rsidR="00486378" w:rsidRPr="00486378" w:rsidRDefault="00486378" w:rsidP="00074017">
      <w:pPr>
        <w:pStyle w:val="BodyText"/>
        <w:rPr>
          <w:lang w:eastAsia="de-DE"/>
        </w:rPr>
      </w:pPr>
      <w:r w:rsidRPr="00486378">
        <w:rPr>
          <w:lang w:eastAsia="de-DE"/>
        </w:rPr>
        <w:t>Es wird der exakte, benötigte Bedarf übertragen.</w:t>
      </w:r>
    </w:p>
    <w:p w14:paraId="0BF09E9A" w14:textId="77777777" w:rsidR="00486378" w:rsidRDefault="00486378" w:rsidP="00074017">
      <w:pPr>
        <w:pStyle w:val="BodyText"/>
        <w:rPr>
          <w:lang w:eastAsia="de-DE"/>
        </w:rPr>
      </w:pPr>
      <w:r w:rsidRPr="00486378">
        <w:rPr>
          <w:lang w:eastAsia="de-DE"/>
        </w:rPr>
        <w:t xml:space="preserve">Evtl. dem Lieferanten entstehenden Mehrkosten (Rüstkosten) können nicht geltend gemacht werden. </w:t>
      </w:r>
    </w:p>
    <w:p w14:paraId="29013AE9" w14:textId="77777777" w:rsidR="00C2485E" w:rsidRDefault="00C2485E" w:rsidP="00074017">
      <w:pPr>
        <w:pStyle w:val="BodyText"/>
        <w:rPr>
          <w:lang w:eastAsia="de-DE"/>
        </w:rPr>
      </w:pPr>
    </w:p>
    <w:p w14:paraId="2F3DC2A1" w14:textId="77777777" w:rsidR="00C2485E" w:rsidRDefault="00C2485E" w:rsidP="00074017">
      <w:pPr>
        <w:pStyle w:val="BodyText"/>
        <w:rPr>
          <w:lang w:eastAsia="de-DE"/>
        </w:rPr>
      </w:pPr>
    </w:p>
    <w:p w14:paraId="6F6066FD" w14:textId="77777777" w:rsidR="00C2485E" w:rsidRPr="00486378" w:rsidRDefault="00C2485E" w:rsidP="00074017">
      <w:pPr>
        <w:pStyle w:val="BodyText"/>
        <w:rPr>
          <w:lang w:eastAsia="de-DE"/>
        </w:rPr>
      </w:pPr>
    </w:p>
    <w:p w14:paraId="605BE335" w14:textId="77777777" w:rsidR="00486378" w:rsidRPr="00486378" w:rsidRDefault="00486378" w:rsidP="00074017">
      <w:pPr>
        <w:pStyle w:val="b3"/>
        <w:rPr>
          <w:lang w:eastAsia="de-DE"/>
        </w:rPr>
      </w:pPr>
      <w:bookmarkStart w:id="141" w:name="Wiederbeschaffungszeiten"/>
      <w:bookmarkStart w:id="142" w:name="_Toc179342358"/>
      <w:r w:rsidRPr="00486378">
        <w:rPr>
          <w:lang w:eastAsia="de-DE"/>
        </w:rPr>
        <w:t>Wiederbeschaffungszeiten</w:t>
      </w:r>
      <w:bookmarkEnd w:id="141"/>
      <w:r w:rsidRPr="00486378">
        <w:rPr>
          <w:lang w:eastAsia="de-DE"/>
        </w:rPr>
        <w:t xml:space="preserve"> (WBZ) (</w:t>
      </w:r>
      <w:proofErr w:type="spellStart"/>
      <w:r w:rsidRPr="00486378">
        <w:rPr>
          <w:lang w:eastAsia="de-DE"/>
        </w:rPr>
        <w:t>Seating</w:t>
      </w:r>
      <w:proofErr w:type="spellEnd"/>
      <w:r w:rsidRPr="00486378">
        <w:rPr>
          <w:lang w:eastAsia="de-DE"/>
        </w:rPr>
        <w:t xml:space="preserve"> Systems)</w:t>
      </w:r>
      <w:bookmarkEnd w:id="142"/>
    </w:p>
    <w:p w14:paraId="4028464A" w14:textId="77777777" w:rsidR="00486378" w:rsidRPr="00486378" w:rsidRDefault="00486378" w:rsidP="00074017">
      <w:pPr>
        <w:pStyle w:val="BodyText"/>
        <w:rPr>
          <w:lang w:eastAsia="de-DE"/>
        </w:rPr>
      </w:pPr>
      <w:r w:rsidRPr="00486378">
        <w:rPr>
          <w:lang w:eastAsia="de-DE"/>
        </w:rPr>
        <w:t xml:space="preserve">Für Lieferanten, die die monatliche </w:t>
      </w:r>
      <w:proofErr w:type="spellStart"/>
      <w:r w:rsidRPr="00486378">
        <w:rPr>
          <w:lang w:eastAsia="de-DE"/>
        </w:rPr>
        <w:t>Planinfo</w:t>
      </w:r>
      <w:proofErr w:type="spellEnd"/>
      <w:r w:rsidRPr="00486378">
        <w:rPr>
          <w:lang w:eastAsia="de-DE"/>
        </w:rPr>
        <w:t xml:space="preserve"> per E-Mail, LAB oder das Portal erhalten, gilt:</w:t>
      </w:r>
    </w:p>
    <w:p w14:paraId="641D5D25" w14:textId="77777777" w:rsidR="00486378" w:rsidRPr="00486378" w:rsidRDefault="00486378" w:rsidP="00C2485E">
      <w:pPr>
        <w:pStyle w:val="BodyText"/>
        <w:rPr>
          <w:lang w:eastAsia="de-DE"/>
        </w:rPr>
      </w:pPr>
    </w:p>
    <w:p w14:paraId="558B5398" w14:textId="77777777" w:rsidR="00486378" w:rsidRPr="00486378" w:rsidRDefault="00486378" w:rsidP="00074017">
      <w:pPr>
        <w:pStyle w:val="TextkrperNum"/>
      </w:pPr>
      <w:r w:rsidRPr="00486378">
        <w:t>Als maximale Wiederbeschaffungszeit zwischen GRAMMER und dem Lieferanten gilt: Transportzeit + 2 Tage Bearbeitungszeit</w:t>
      </w:r>
    </w:p>
    <w:p w14:paraId="5D12D16C" w14:textId="77777777" w:rsidR="00486378" w:rsidRDefault="00486378" w:rsidP="00074017">
      <w:pPr>
        <w:pStyle w:val="TextkrperNum"/>
      </w:pPr>
      <w:r w:rsidRPr="00486378">
        <w:t>Durch die von GRAMMER akzeptierten Freigaben (4+4 Wochen) wird eine längere WBZ nach Auftragserteilung nicht akzeptiert, da eine Materialbeschaffung beim Lieferanten bereits aufgrund der übermittelten Vorschauzahlen erfolgen kann.</w:t>
      </w:r>
    </w:p>
    <w:p w14:paraId="35F908F5" w14:textId="77777777" w:rsidR="00C2485E" w:rsidRDefault="00C2485E" w:rsidP="00C2485E">
      <w:pPr>
        <w:pStyle w:val="TextkrperNum"/>
        <w:numPr>
          <w:ilvl w:val="0"/>
          <w:numId w:val="0"/>
        </w:numPr>
        <w:ind w:left="360" w:hanging="360"/>
      </w:pPr>
    </w:p>
    <w:p w14:paraId="2DD967FC" w14:textId="77777777" w:rsidR="00C2485E" w:rsidRPr="00486378" w:rsidRDefault="00C2485E" w:rsidP="00C2485E">
      <w:pPr>
        <w:pStyle w:val="TextkrperNum"/>
        <w:numPr>
          <w:ilvl w:val="0"/>
          <w:numId w:val="0"/>
        </w:numPr>
        <w:ind w:left="360" w:hanging="360"/>
      </w:pPr>
    </w:p>
    <w:p w14:paraId="0877053E" w14:textId="2E1777ED" w:rsidR="00486378" w:rsidRPr="00486378" w:rsidRDefault="00C2485E" w:rsidP="009A0347">
      <w:pPr>
        <w:pStyle w:val="b2"/>
        <w:spacing w:line="259" w:lineRule="auto"/>
        <w:rPr>
          <w:lang w:val="en-US" w:eastAsia="de-DE"/>
        </w:rPr>
      </w:pPr>
      <w:bookmarkStart w:id="143" w:name="_Toc179342359"/>
      <w:r w:rsidRPr="24129D7F">
        <w:rPr>
          <w:lang w:val="en-US" w:eastAsia="de-DE"/>
        </w:rPr>
        <w:br w:type="page"/>
      </w:r>
      <w:bookmarkStart w:id="144" w:name="_Toc188346325"/>
      <w:bookmarkEnd w:id="143"/>
      <w:proofErr w:type="spellStart"/>
      <w:r w:rsidR="1FBC89A9" w:rsidRPr="24129D7F">
        <w:rPr>
          <w:lang w:val="en-US" w:eastAsia="de-DE"/>
        </w:rPr>
        <w:t>Mindestbestellmenge</w:t>
      </w:r>
      <w:bookmarkEnd w:id="144"/>
      <w:proofErr w:type="spellEnd"/>
    </w:p>
    <w:p w14:paraId="5D5EA72C" w14:textId="5DC82D6E" w:rsidR="00C2485E" w:rsidRDefault="00A16B1A" w:rsidP="00074017">
      <w:pPr>
        <w:pStyle w:val="BodyText"/>
        <w:rPr>
          <w:lang w:eastAsia="de-DE"/>
        </w:rPr>
      </w:pPr>
      <w:r w:rsidRPr="00A16B1A">
        <w:rPr>
          <w:lang w:eastAsia="de-DE"/>
        </w:rPr>
        <w:t>Sofern nicht anders vereinbart, ist die Mindestbestellmenge (MOQ) die Füllmenge der kleinsten Verpackungseinheit, die zwischen dem Lieferanten und GRAMMER im Verpackungsdatenblatt (PDS) vereinbart wurde. Jede Abweichung muss im Vertrag zwischen beiden Parteien schriftlich festgehalten werden.</w:t>
      </w:r>
    </w:p>
    <w:p w14:paraId="13403255" w14:textId="77777777" w:rsidR="00C2485E" w:rsidRDefault="00C2485E" w:rsidP="00074017">
      <w:pPr>
        <w:pStyle w:val="BodyText"/>
        <w:rPr>
          <w:lang w:eastAsia="de-DE"/>
        </w:rPr>
      </w:pPr>
    </w:p>
    <w:p w14:paraId="20D7AE36" w14:textId="77777777" w:rsidR="00E07ECA" w:rsidRPr="00486378" w:rsidRDefault="00E07ECA" w:rsidP="00074017">
      <w:pPr>
        <w:pStyle w:val="BodyText"/>
        <w:rPr>
          <w:lang w:eastAsia="de-DE"/>
        </w:rPr>
      </w:pPr>
    </w:p>
    <w:p w14:paraId="0D432476" w14:textId="77777777" w:rsidR="00486378" w:rsidRPr="00486378" w:rsidRDefault="00486378" w:rsidP="00074017">
      <w:pPr>
        <w:pStyle w:val="b2"/>
        <w:rPr>
          <w:lang w:eastAsia="de-DE"/>
        </w:rPr>
      </w:pPr>
      <w:bookmarkStart w:id="145" w:name="Notfallstrategie"/>
      <w:bookmarkStart w:id="146" w:name="_Toc179342360"/>
      <w:bookmarkStart w:id="147" w:name="_Toc188346326"/>
      <w:r w:rsidRPr="00486378">
        <w:rPr>
          <w:lang w:eastAsia="de-DE"/>
        </w:rPr>
        <w:t>Notfallstrategie</w:t>
      </w:r>
      <w:bookmarkEnd w:id="145"/>
      <w:bookmarkEnd w:id="146"/>
      <w:bookmarkEnd w:id="147"/>
    </w:p>
    <w:p w14:paraId="63DA8A59" w14:textId="77777777" w:rsidR="00486378" w:rsidRPr="00486378" w:rsidRDefault="00486378" w:rsidP="00074017">
      <w:pPr>
        <w:pStyle w:val="BodyText"/>
        <w:rPr>
          <w:lang w:eastAsia="de-DE"/>
        </w:rPr>
      </w:pPr>
      <w:r w:rsidRPr="00486378">
        <w:rPr>
          <w:lang w:eastAsia="de-DE"/>
        </w:rPr>
        <w:t>Der Lieferant muss ein Notfallkonzept für Fertigung, Transport und Verpackung erstellen. Dieses ist vor Serienstart mit GRAMMER abzustimmen. Das Konzept muss folgende Punkte enthalten:</w:t>
      </w:r>
    </w:p>
    <w:p w14:paraId="51FA5D1C" w14:textId="77777777" w:rsidR="00486378" w:rsidRPr="00486378" w:rsidRDefault="00486378" w:rsidP="00074017">
      <w:pPr>
        <w:pStyle w:val="BodyText"/>
        <w:rPr>
          <w:lang w:eastAsia="de-DE"/>
        </w:rPr>
      </w:pPr>
    </w:p>
    <w:p w14:paraId="0CD2E0C7" w14:textId="77777777" w:rsidR="00486378" w:rsidRPr="00486378" w:rsidRDefault="00486378" w:rsidP="00074017">
      <w:pPr>
        <w:pStyle w:val="Textkrper-Aufzhlung"/>
      </w:pPr>
      <w:r w:rsidRPr="00486378">
        <w:t>Notfallkontakt (Wochenende, Verfügbarkeit)</w:t>
      </w:r>
    </w:p>
    <w:p w14:paraId="1105F176" w14:textId="77777777" w:rsidR="00486378" w:rsidRPr="00486378" w:rsidRDefault="00486378" w:rsidP="00074017">
      <w:pPr>
        <w:pStyle w:val="Textkrper-Aufzhlung"/>
      </w:pPr>
      <w:r w:rsidRPr="00486378">
        <w:t>Produktion (Schichtmodell, Öffnungszeiten Fertigung, Durchlaufzeit Produktion, Reaktionszeit, Vorgehen bei Werkzeugausfall, Ausweichkapazitäten, etc.)</w:t>
      </w:r>
    </w:p>
    <w:p w14:paraId="2C0CF411" w14:textId="77777777" w:rsidR="00486378" w:rsidRPr="00486378" w:rsidRDefault="00486378" w:rsidP="00074017">
      <w:pPr>
        <w:pStyle w:val="Textkrper-Aufzhlung"/>
      </w:pPr>
      <w:r w:rsidRPr="00486378">
        <w:t>Ersatzverpackung</w:t>
      </w:r>
    </w:p>
    <w:p w14:paraId="07FBEC7F" w14:textId="77777777" w:rsidR="00486378" w:rsidRPr="00486378" w:rsidRDefault="00486378" w:rsidP="00074017">
      <w:pPr>
        <w:pStyle w:val="Textkrper-Aufzhlung"/>
      </w:pPr>
      <w:r w:rsidRPr="00486378">
        <w:t>Sicherheitsbestand</w:t>
      </w:r>
    </w:p>
    <w:p w14:paraId="66AC8014" w14:textId="77777777" w:rsidR="00486378" w:rsidRPr="00486378" w:rsidRDefault="00486378" w:rsidP="00074017">
      <w:pPr>
        <w:pStyle w:val="Textkrper-Aufzhlung"/>
      </w:pPr>
      <w:r w:rsidRPr="00486378">
        <w:t>Transport (beauftragte Firma und dessen Adresse für Sondertransport inkl. Ansprechpartner, Fahrzeit und Preis)</w:t>
      </w:r>
    </w:p>
    <w:p w14:paraId="02BA6519" w14:textId="77777777" w:rsidR="00486378" w:rsidRPr="00486378" w:rsidRDefault="00486378" w:rsidP="00074017">
      <w:pPr>
        <w:pStyle w:val="Textkrper-Aufzhlung"/>
      </w:pPr>
      <w:r w:rsidRPr="00486378">
        <w:t>Informationsfluss (Ausweichmodell bei Ausfall der Kommunikation mit dem IT-System oder bei Ausfall des IT-Systems)</w:t>
      </w:r>
    </w:p>
    <w:p w14:paraId="43C51DCA" w14:textId="77777777" w:rsidR="00486378" w:rsidRPr="00486378" w:rsidRDefault="00486378" w:rsidP="00074017">
      <w:pPr>
        <w:pStyle w:val="Textkrper-Aufzhlung"/>
        <w:numPr>
          <w:ilvl w:val="0"/>
          <w:numId w:val="0"/>
        </w:numPr>
        <w:ind w:left="357"/>
      </w:pPr>
    </w:p>
    <w:p w14:paraId="7C14A094" w14:textId="77777777" w:rsidR="00486378" w:rsidRDefault="00486378" w:rsidP="00074017">
      <w:pPr>
        <w:pStyle w:val="BodyText"/>
        <w:rPr>
          <w:lang w:eastAsia="de-DE"/>
        </w:rPr>
      </w:pPr>
      <w:r w:rsidRPr="00486378">
        <w:rPr>
          <w:lang w:eastAsia="de-DE"/>
        </w:rPr>
        <w:t xml:space="preserve">Treten Störfälle auf, so hat der Lieferant umgehend das betroffene Werk zu informieren. Hierbei sind Art und Dauer der Störung, sowie bereits eingeleitete Maßnahmen gemäß Notfallkonzept mitzuteilen. Sollten diese nicht ausreichend sein, behält sich GRAMMER das Recht vor, weiterführende Maßnahmen zu ergreifen. Dies bildet die Voraussetzung, dass die Versorgung der Produktion sowohl bei </w:t>
      </w:r>
      <w:proofErr w:type="gramStart"/>
      <w:r w:rsidRPr="00486378">
        <w:rPr>
          <w:lang w:eastAsia="de-DE"/>
        </w:rPr>
        <w:t>GRAMMER,</w:t>
      </w:r>
      <w:proofErr w:type="gramEnd"/>
      <w:r w:rsidRPr="00486378">
        <w:rPr>
          <w:lang w:eastAsia="de-DE"/>
        </w:rPr>
        <w:t xml:space="preserve"> als auch bei unseren Kunden weiterhin sichergestellt ist.</w:t>
      </w:r>
    </w:p>
    <w:p w14:paraId="3E614893" w14:textId="77777777" w:rsidR="00C2485E" w:rsidRDefault="00C2485E" w:rsidP="00074017">
      <w:pPr>
        <w:pStyle w:val="BodyText"/>
        <w:rPr>
          <w:lang w:eastAsia="de-DE"/>
        </w:rPr>
      </w:pPr>
    </w:p>
    <w:p w14:paraId="3529FE27" w14:textId="77777777" w:rsidR="00C2485E" w:rsidRPr="00486378" w:rsidRDefault="00C2485E" w:rsidP="00074017">
      <w:pPr>
        <w:pStyle w:val="BodyText"/>
        <w:rPr>
          <w:lang w:eastAsia="de-DE"/>
        </w:rPr>
      </w:pPr>
    </w:p>
    <w:p w14:paraId="2707F456" w14:textId="77777777" w:rsidR="00486378" w:rsidRPr="00486378" w:rsidRDefault="00C2485E" w:rsidP="00074017">
      <w:pPr>
        <w:pStyle w:val="b1"/>
        <w:rPr>
          <w:lang w:eastAsia="de-DE"/>
        </w:rPr>
      </w:pPr>
      <w:bookmarkStart w:id="148" w:name="Aufwandsentschädigung"/>
      <w:bookmarkStart w:id="149" w:name="_Toc179342361"/>
      <w:r>
        <w:rPr>
          <w:lang w:eastAsia="de-DE"/>
        </w:rPr>
        <w:br w:type="page"/>
      </w:r>
      <w:bookmarkStart w:id="150" w:name="_Toc188346327"/>
      <w:r w:rsidR="00486378" w:rsidRPr="00486378">
        <w:rPr>
          <w:lang w:eastAsia="de-DE"/>
        </w:rPr>
        <w:t>Logistikqualität</w:t>
      </w:r>
      <w:bookmarkEnd w:id="148"/>
      <w:bookmarkEnd w:id="149"/>
      <w:bookmarkEnd w:id="150"/>
    </w:p>
    <w:p w14:paraId="77355CBB" w14:textId="77777777" w:rsidR="00486378" w:rsidRPr="00486378" w:rsidRDefault="00486378" w:rsidP="00074017">
      <w:pPr>
        <w:pStyle w:val="BodyText"/>
        <w:rPr>
          <w:lang w:eastAsia="de-DE"/>
        </w:rPr>
      </w:pPr>
      <w:r w:rsidRPr="00486378">
        <w:rPr>
          <w:lang w:eastAsia="de-DE"/>
        </w:rPr>
        <w:t>Die Nichteinhaltung der vereinbarten Bestimmungen stellt einen Störfall dar und wird von GRAMMER mit einer Logistikstörfallmeldung dokumentiert.</w:t>
      </w:r>
    </w:p>
    <w:p w14:paraId="55337BCD" w14:textId="77777777" w:rsidR="00486378" w:rsidRPr="00486378" w:rsidRDefault="00486378" w:rsidP="00074017">
      <w:pPr>
        <w:pStyle w:val="BodyText"/>
        <w:rPr>
          <w:lang w:eastAsia="de-DE"/>
        </w:rPr>
      </w:pPr>
      <w:r w:rsidRPr="00486378">
        <w:rPr>
          <w:lang w:eastAsia="de-DE"/>
        </w:rPr>
        <w:t>Die Logistikstörfallmeldung wird von GRAMMER unverzüglich an den Lieferanten zu einer Stellungnahme geschickt. Die Stellungnahme des Lieferanten hat spätestens am folgenden Werktag zu erfolgen. Zusätzlich kann GRAMMER auf der Logistikstörfallmeldung vermerken, dass ein 8-D-Report erforderlich ist. In diesem Fall hat der Lieferant unverzüglich die Bearbeitung des 8-D-Reportes aufzunehmen.</w:t>
      </w:r>
    </w:p>
    <w:p w14:paraId="332149B4" w14:textId="77777777" w:rsidR="00486378" w:rsidRPr="00486378" w:rsidRDefault="00486378" w:rsidP="00074017">
      <w:pPr>
        <w:pStyle w:val="BodyText"/>
        <w:rPr>
          <w:lang w:eastAsia="de-DE"/>
        </w:rPr>
      </w:pPr>
      <w:r w:rsidRPr="00486378">
        <w:rPr>
          <w:lang w:eastAsia="de-DE"/>
        </w:rPr>
        <w:t>Für die 8-D-Reporte gibt GRAMMER ein digitales Format vor, welches der Lieferant zu verwenden hat.</w:t>
      </w:r>
    </w:p>
    <w:p w14:paraId="1F155D41" w14:textId="77777777" w:rsidR="00486378" w:rsidRPr="00486378" w:rsidRDefault="00486378" w:rsidP="00074017">
      <w:pPr>
        <w:pStyle w:val="BodyText"/>
        <w:rPr>
          <w:lang w:eastAsia="de-DE"/>
        </w:rPr>
      </w:pPr>
      <w:r w:rsidRPr="00486378">
        <w:rPr>
          <w:lang w:eastAsia="de-DE"/>
        </w:rPr>
        <w:t>Zusätzlich können dem Lieferanten weitere durch den Logistikstörfall verursachte Mehraufwendungen in Rechnung gestellt werden. Dabei kann es sich beispielsweise um Mehraufwendungen handeln, die</w:t>
      </w:r>
    </w:p>
    <w:p w14:paraId="11A73872" w14:textId="77777777" w:rsidR="00486378" w:rsidRPr="00486378" w:rsidRDefault="00486378" w:rsidP="00074017">
      <w:pPr>
        <w:pStyle w:val="BodyText"/>
        <w:rPr>
          <w:lang w:eastAsia="de-DE"/>
        </w:rPr>
      </w:pPr>
    </w:p>
    <w:p w14:paraId="572D18DF" w14:textId="77777777" w:rsidR="00486378" w:rsidRPr="00486378" w:rsidRDefault="00486378" w:rsidP="00074017">
      <w:pPr>
        <w:pStyle w:val="Textkrper-Aufzhlung"/>
      </w:pPr>
      <w:r w:rsidRPr="00486378">
        <w:t>durch Sortier- und Prüfarbeiten bei GRAMMER aufgrund nicht ordnungsgemäß gekennzeichneter Mischpaletten oder die (nicht erlaubte) Verwendung von Behältern mit Mischinhalten,</w:t>
      </w:r>
    </w:p>
    <w:p w14:paraId="78200A56" w14:textId="77777777" w:rsidR="00486378" w:rsidRPr="00486378" w:rsidRDefault="00486378" w:rsidP="00074017">
      <w:pPr>
        <w:pStyle w:val="Textkrper-Aufzhlung"/>
      </w:pPr>
      <w:r w:rsidRPr="00486378">
        <w:t>durch fehlende, fehlerhafte oder unlesbare Lieferscheine,</w:t>
      </w:r>
    </w:p>
    <w:p w14:paraId="00397198" w14:textId="77777777" w:rsidR="00486378" w:rsidRPr="00486378" w:rsidRDefault="00486378" w:rsidP="00074017">
      <w:pPr>
        <w:pStyle w:val="Textkrper-Aufzhlung"/>
      </w:pPr>
      <w:r w:rsidRPr="00486378">
        <w:t>durch fehlende, fehlerhafte oder unlesbare Label,</w:t>
      </w:r>
    </w:p>
    <w:p w14:paraId="36C77A82" w14:textId="77777777" w:rsidR="00486378" w:rsidRPr="00486378" w:rsidRDefault="00486378" w:rsidP="00074017">
      <w:pPr>
        <w:pStyle w:val="Textkrper-Aufzhlung"/>
      </w:pPr>
      <w:r w:rsidRPr="00486378">
        <w:t>durch Verschmutzung von Behältern oder Ware,</w:t>
      </w:r>
    </w:p>
    <w:p w14:paraId="1DB3A01A" w14:textId="77777777" w:rsidR="00486378" w:rsidRPr="00486378" w:rsidRDefault="00486378" w:rsidP="00074017">
      <w:pPr>
        <w:pStyle w:val="Textkrper-Aufzhlung"/>
      </w:pPr>
      <w:r w:rsidRPr="00486378">
        <w:t xml:space="preserve">durch nicht ordnungsgemäße Verpackungen (Mehraufwendungen durch </w:t>
      </w:r>
      <w:proofErr w:type="spellStart"/>
      <w:r w:rsidRPr="00486378">
        <w:t>Ent</w:t>
      </w:r>
      <w:proofErr w:type="spellEnd"/>
      <w:r w:rsidRPr="00486378">
        <w:t>- und Umpacken sowie Entsorgung),</w:t>
      </w:r>
    </w:p>
    <w:p w14:paraId="0F11C344" w14:textId="77777777" w:rsidR="00486378" w:rsidRPr="00486378" w:rsidRDefault="00486378" w:rsidP="00074017">
      <w:pPr>
        <w:pStyle w:val="Textkrper-Aufzhlung"/>
      </w:pPr>
      <w:r w:rsidRPr="00486378">
        <w:t>für die abholende Spedition durch Wartezeiten aufgrund verspätet bereitgestellter Lieferungen,</w:t>
      </w:r>
    </w:p>
    <w:p w14:paraId="377CB58F" w14:textId="77777777" w:rsidR="00C2485E" w:rsidRDefault="00486378" w:rsidP="00074017">
      <w:pPr>
        <w:pStyle w:val="Textkrper-Aufzhlung"/>
      </w:pPr>
      <w:r w:rsidRPr="00486378">
        <w:t>durch Stillstände von Fertigungslinien, die durch Unterlieferungen oder verspätete Lieferungen verursacht wurden.</w:t>
      </w:r>
    </w:p>
    <w:p w14:paraId="464E0F15" w14:textId="77777777" w:rsidR="00C2485E" w:rsidRDefault="00C2485E" w:rsidP="00C2485E">
      <w:pPr>
        <w:pStyle w:val="Textkrper-Aufzhlung"/>
        <w:numPr>
          <w:ilvl w:val="0"/>
          <w:numId w:val="0"/>
        </w:numPr>
        <w:ind w:left="357" w:hanging="357"/>
      </w:pPr>
    </w:p>
    <w:p w14:paraId="3BA57431" w14:textId="77777777" w:rsidR="00C2485E" w:rsidRDefault="00C2485E" w:rsidP="00C2485E">
      <w:pPr>
        <w:pStyle w:val="Textkrper-Aufzhlung"/>
        <w:numPr>
          <w:ilvl w:val="0"/>
          <w:numId w:val="0"/>
        </w:numPr>
        <w:ind w:left="357" w:hanging="357"/>
      </w:pPr>
    </w:p>
    <w:p w14:paraId="5567544A" w14:textId="77777777" w:rsidR="00486378" w:rsidRPr="00486378" w:rsidRDefault="00486378" w:rsidP="00C2485E">
      <w:pPr>
        <w:pStyle w:val="Textkrper-Aufzhlung"/>
        <w:numPr>
          <w:ilvl w:val="0"/>
          <w:numId w:val="0"/>
        </w:numPr>
        <w:ind w:left="357" w:hanging="357"/>
      </w:pPr>
    </w:p>
    <w:p w14:paraId="78198893" w14:textId="77777777" w:rsidR="00486378" w:rsidRPr="00486378" w:rsidRDefault="00C2485E" w:rsidP="00074017">
      <w:pPr>
        <w:pStyle w:val="b1"/>
        <w:rPr>
          <w:lang w:eastAsia="de-DE"/>
        </w:rPr>
      </w:pPr>
      <w:bookmarkStart w:id="151" w:name="_Toc179342362"/>
      <w:bookmarkStart w:id="152" w:name="Logistikkosten"/>
      <w:r>
        <w:rPr>
          <w:lang w:eastAsia="de-DE"/>
        </w:rPr>
        <w:br w:type="page"/>
      </w:r>
      <w:bookmarkStart w:id="153" w:name="_Toc188346328"/>
      <w:r w:rsidR="00486378" w:rsidRPr="00486378">
        <w:rPr>
          <w:lang w:eastAsia="de-DE"/>
        </w:rPr>
        <w:t>Logistikkosten</w:t>
      </w:r>
      <w:bookmarkEnd w:id="151"/>
      <w:bookmarkEnd w:id="153"/>
    </w:p>
    <w:bookmarkEnd w:id="152"/>
    <w:p w14:paraId="06996C9D" w14:textId="15ACE24C" w:rsidR="00486378" w:rsidRDefault="00486378" w:rsidP="00074017">
      <w:pPr>
        <w:pStyle w:val="BodyText"/>
        <w:rPr>
          <w:lang w:eastAsia="de-DE"/>
        </w:rPr>
      </w:pPr>
      <w:r w:rsidRPr="00486378">
        <w:rPr>
          <w:lang w:eastAsia="de-DE"/>
        </w:rPr>
        <w:t>Jedem Angebot des Lieferanten ist ein ausgefülltes Logistikdatenblatt beizufügen. Dieses Logistikdatenblatt stellt ein Angebot über eine logistische Anlieferform dar, mit dem Ziel, alle Kosten darzustellen, die notwendig sind, um GRAMMER bedarfsgerecht zu beliefern. Das Angebot ist damit, soweit nicht anders vereinbart, ein „</w:t>
      </w:r>
      <w:r w:rsidR="00A16B1A">
        <w:rPr>
          <w:lang w:eastAsia="de-DE"/>
        </w:rPr>
        <w:t>DAP</w:t>
      </w:r>
      <w:r w:rsidRPr="00486378">
        <w:rPr>
          <w:lang w:eastAsia="de-DE"/>
        </w:rPr>
        <w:t xml:space="preserve">“- Angebot für GRAMMER. Das Logistikdatenblatt wird bei der Angebotsanfrage von dem jeweilig verantwortlichen </w:t>
      </w:r>
      <w:proofErr w:type="spellStart"/>
      <w:r w:rsidRPr="00486378">
        <w:rPr>
          <w:lang w:eastAsia="de-DE"/>
        </w:rPr>
        <w:t>Commodity</w:t>
      </w:r>
      <w:proofErr w:type="spellEnd"/>
      <w:r w:rsidRPr="00486378">
        <w:rPr>
          <w:lang w:eastAsia="de-DE"/>
        </w:rPr>
        <w:t xml:space="preserve"> Manager zur Verfügung gestellt.</w:t>
      </w:r>
    </w:p>
    <w:p w14:paraId="46E8643A" w14:textId="77777777" w:rsidR="00C2485E" w:rsidRDefault="00C2485E" w:rsidP="00074017">
      <w:pPr>
        <w:pStyle w:val="BodyText"/>
        <w:rPr>
          <w:lang w:eastAsia="de-DE"/>
        </w:rPr>
      </w:pPr>
    </w:p>
    <w:p w14:paraId="5C59F0D1" w14:textId="77777777" w:rsidR="00C2485E" w:rsidRDefault="00C2485E" w:rsidP="00074017">
      <w:pPr>
        <w:pStyle w:val="BodyText"/>
        <w:rPr>
          <w:lang w:eastAsia="de-DE"/>
        </w:rPr>
      </w:pPr>
    </w:p>
    <w:p w14:paraId="01786369" w14:textId="77777777" w:rsidR="00C2485E" w:rsidRPr="00486378" w:rsidRDefault="00C2485E" w:rsidP="00074017">
      <w:pPr>
        <w:pStyle w:val="BodyText"/>
        <w:rPr>
          <w:lang w:eastAsia="de-DE"/>
        </w:rPr>
      </w:pPr>
    </w:p>
    <w:p w14:paraId="028A72B0" w14:textId="77777777" w:rsidR="00486378" w:rsidRPr="00486378" w:rsidRDefault="00486378" w:rsidP="00074017">
      <w:pPr>
        <w:pStyle w:val="b2"/>
        <w:rPr>
          <w:lang w:eastAsia="de-DE"/>
        </w:rPr>
      </w:pPr>
      <w:bookmarkStart w:id="154" w:name="_Toc179342363"/>
      <w:bookmarkStart w:id="155" w:name="_Toc188346329"/>
      <w:r w:rsidRPr="00486378">
        <w:rPr>
          <w:lang w:eastAsia="de-DE"/>
        </w:rPr>
        <w:t xml:space="preserve">Abgrenzung </w:t>
      </w:r>
      <w:bookmarkStart w:id="156" w:name="A"/>
      <w:r w:rsidRPr="00486378">
        <w:rPr>
          <w:lang w:eastAsia="de-DE"/>
        </w:rPr>
        <w:t>A</w:t>
      </w:r>
      <w:bookmarkEnd w:id="156"/>
      <w:r w:rsidRPr="00486378">
        <w:rPr>
          <w:lang w:eastAsia="de-DE"/>
        </w:rPr>
        <w:t>-Preis</w:t>
      </w:r>
      <w:bookmarkEnd w:id="154"/>
      <w:bookmarkEnd w:id="155"/>
    </w:p>
    <w:p w14:paraId="145E7E9E" w14:textId="77777777" w:rsidR="00486378" w:rsidRDefault="00486378" w:rsidP="00074017">
      <w:pPr>
        <w:pStyle w:val="BodyText"/>
        <w:rPr>
          <w:lang w:eastAsia="de-DE"/>
        </w:rPr>
      </w:pPr>
      <w:r w:rsidRPr="00486378">
        <w:rPr>
          <w:lang w:eastAsia="de-DE"/>
        </w:rPr>
        <w:t>Der A-Preis (=Teilepreis) beinhaltet alle internen Logistikaufwände des Lieferanten, die für die abgefragte Liefervariante notwendig sind (Material- &amp; Informationsfluss), inklusive des Verpackens in die angebotenen Behälter. Kosten für Behälter und Verpackungsmaterial sind nicht im A-Preis enthalten.</w:t>
      </w:r>
    </w:p>
    <w:p w14:paraId="082C269D" w14:textId="77777777" w:rsidR="00C2485E" w:rsidRDefault="00C2485E" w:rsidP="00074017">
      <w:pPr>
        <w:pStyle w:val="BodyText"/>
        <w:rPr>
          <w:lang w:eastAsia="de-DE"/>
        </w:rPr>
      </w:pPr>
    </w:p>
    <w:p w14:paraId="20D20A80" w14:textId="77777777" w:rsidR="00C2485E" w:rsidRDefault="00C2485E" w:rsidP="00074017">
      <w:pPr>
        <w:pStyle w:val="BodyText"/>
        <w:rPr>
          <w:lang w:eastAsia="de-DE"/>
        </w:rPr>
      </w:pPr>
    </w:p>
    <w:p w14:paraId="34E987D6" w14:textId="77777777" w:rsidR="00C2485E" w:rsidRPr="00486378" w:rsidRDefault="00C2485E" w:rsidP="00074017">
      <w:pPr>
        <w:pStyle w:val="BodyText"/>
        <w:rPr>
          <w:lang w:eastAsia="de-DE"/>
        </w:rPr>
      </w:pPr>
    </w:p>
    <w:p w14:paraId="7E0CE8D4" w14:textId="77777777" w:rsidR="00486378" w:rsidRPr="00486378" w:rsidRDefault="00486378" w:rsidP="00074017">
      <w:pPr>
        <w:pStyle w:val="b2"/>
        <w:rPr>
          <w:szCs w:val="22"/>
          <w:lang w:eastAsia="de-DE"/>
        </w:rPr>
      </w:pPr>
      <w:bookmarkStart w:id="157" w:name="_Toc179342364"/>
      <w:bookmarkStart w:id="158" w:name="_Toc188346330"/>
      <w:r w:rsidRPr="00486378">
        <w:rPr>
          <w:lang w:eastAsia="de-DE"/>
        </w:rPr>
        <w:t xml:space="preserve">Abgrenzung </w:t>
      </w:r>
      <w:bookmarkStart w:id="159" w:name="B"/>
      <w:r w:rsidRPr="00486378">
        <w:rPr>
          <w:lang w:eastAsia="de-DE"/>
        </w:rPr>
        <w:t>B</w:t>
      </w:r>
      <w:bookmarkEnd w:id="159"/>
      <w:r w:rsidRPr="00486378">
        <w:rPr>
          <w:lang w:eastAsia="de-DE"/>
        </w:rPr>
        <w:t>-Preis</w:t>
      </w:r>
      <w:bookmarkEnd w:id="157"/>
      <w:bookmarkEnd w:id="158"/>
    </w:p>
    <w:p w14:paraId="504D0B88" w14:textId="77777777" w:rsidR="00486378" w:rsidRPr="00486378" w:rsidRDefault="00486378" w:rsidP="00074017">
      <w:pPr>
        <w:pStyle w:val="BodyText"/>
        <w:rPr>
          <w:lang w:eastAsia="de-DE"/>
        </w:rPr>
      </w:pPr>
      <w:r w:rsidRPr="00486378">
        <w:rPr>
          <w:lang w:eastAsia="de-DE"/>
        </w:rPr>
        <w:t>Im B-Preis sind neben dem Teilepreis auch die Kosten für die Verpackung enthalten, d.h. Kosten für Einwegverpackung (Pack- und Packhilfsmittel) bzw. Kosten der Mehrwegverpackung/-</w:t>
      </w:r>
      <w:proofErr w:type="spellStart"/>
      <w:r w:rsidRPr="00486378">
        <w:rPr>
          <w:lang w:eastAsia="de-DE"/>
        </w:rPr>
        <w:t>ladungsträger</w:t>
      </w:r>
      <w:proofErr w:type="spellEnd"/>
      <w:r w:rsidRPr="00486378">
        <w:rPr>
          <w:lang w:eastAsia="de-DE"/>
        </w:rPr>
        <w:t xml:space="preserve"> für den Teil des Ladungsträger-Umlaufes, den der Lieferant gemäß der Lieferbedingung verantwortet bzw. zu beschaffen hat. Sie können als Umlaufkosten, Abschreibungswert oder Mietkosten, bzw. auch Transferkosten deklariert sein, inkl. der Administrationskosten.</w:t>
      </w:r>
    </w:p>
    <w:p w14:paraId="36C0420A" w14:textId="77777777" w:rsidR="00486378" w:rsidRDefault="00486378" w:rsidP="00074017">
      <w:pPr>
        <w:pStyle w:val="BodyText"/>
        <w:rPr>
          <w:lang w:eastAsia="de-DE"/>
        </w:rPr>
      </w:pPr>
      <w:r w:rsidRPr="00486378">
        <w:rPr>
          <w:lang w:eastAsia="de-DE"/>
        </w:rPr>
        <w:t xml:space="preserve">Zusätzlich enthält der B-Preis neben dem Teilepreis und den Verpackungskosten auch die Transportkosten. In den Transportkosten sind alle Kosten enthalten, die für den Transport der Waren, also das Verladen auf ein Transportmittel sowie den Transport vom Versandort bis zum Bestimmungsort, gemäß der Lieferbedingung entstehen. </w:t>
      </w:r>
      <w:r w:rsidR="004B4E75" w:rsidRPr="00486378">
        <w:rPr>
          <w:lang w:eastAsia="de-DE"/>
        </w:rPr>
        <w:t xml:space="preserve">Enthalten sind neben Vorlauf-, Hauptlauf- und Nachlauf-Kosten, zudem Bereitstellungskosten für Container als </w:t>
      </w:r>
      <w:r w:rsidR="004B4E75">
        <w:rPr>
          <w:lang w:eastAsia="de-DE"/>
        </w:rPr>
        <w:t>auch Umschlagskosten, Stau u.a.</w:t>
      </w:r>
      <w:r w:rsidR="004B4E75" w:rsidRPr="00486378">
        <w:rPr>
          <w:lang w:eastAsia="de-DE"/>
        </w:rPr>
        <w:t xml:space="preserve"> </w:t>
      </w:r>
      <w:r w:rsidRPr="00486378">
        <w:rPr>
          <w:lang w:eastAsia="de-DE"/>
        </w:rPr>
        <w:t>Auch der Rücktransport von Leergut (Rückführungskosten) ist hier zu berücksichtigen.</w:t>
      </w:r>
      <w:bookmarkEnd w:id="2"/>
    </w:p>
    <w:p w14:paraId="352F3C83" w14:textId="77777777" w:rsidR="000A43CB" w:rsidRDefault="000A43CB" w:rsidP="00074017">
      <w:pPr>
        <w:pStyle w:val="BodyText"/>
        <w:rPr>
          <w:lang w:eastAsia="de-DE"/>
        </w:rPr>
      </w:pPr>
    </w:p>
    <w:p w14:paraId="3B41BAC7" w14:textId="77777777" w:rsidR="000A43CB" w:rsidRDefault="000A43CB" w:rsidP="00074017">
      <w:pPr>
        <w:pStyle w:val="BodyText"/>
        <w:rPr>
          <w:lang w:eastAsia="de-DE"/>
        </w:rPr>
      </w:pPr>
    </w:p>
    <w:p w14:paraId="572280A4" w14:textId="5058A9D1" w:rsidR="000A43CB" w:rsidRDefault="000A43CB" w:rsidP="00074017">
      <w:pPr>
        <w:pStyle w:val="BodyText"/>
        <w:rPr>
          <w:lang w:eastAsia="de-DE"/>
        </w:rPr>
      </w:pPr>
      <w:r>
        <w:rPr>
          <w:lang w:eastAsia="de-DE"/>
        </w:rPr>
        <w:t xml:space="preserve">Historie: </w:t>
      </w:r>
    </w:p>
    <w:p w14:paraId="77C17B68" w14:textId="7CCB41E7" w:rsidR="000A43CB" w:rsidRPr="00486378" w:rsidRDefault="000A43CB" w:rsidP="00074017">
      <w:pPr>
        <w:pStyle w:val="BodyText"/>
        <w:rPr>
          <w:lang w:eastAsia="de-DE"/>
        </w:rPr>
      </w:pPr>
      <w:r>
        <w:rPr>
          <w:lang w:eastAsia="de-DE"/>
        </w:rPr>
        <w:t>6.5 Überschriftenänderung und kleine Textänderung</w:t>
      </w:r>
    </w:p>
    <w:sectPr w:rsidR="000A43CB" w:rsidRPr="00486378" w:rsidSect="00CB259C">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985"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66C86" w14:textId="77777777" w:rsidR="0040224F" w:rsidRDefault="0040224F" w:rsidP="00FA62B6">
      <w:pPr>
        <w:pStyle w:val="Footer"/>
      </w:pPr>
      <w:r>
        <w:separator/>
      </w:r>
    </w:p>
    <w:p w14:paraId="78AE2678" w14:textId="77777777" w:rsidR="0040224F" w:rsidRDefault="0040224F"/>
  </w:endnote>
  <w:endnote w:type="continuationSeparator" w:id="0">
    <w:p w14:paraId="3B58CA34" w14:textId="77777777" w:rsidR="0040224F" w:rsidRDefault="0040224F" w:rsidP="00FA62B6">
      <w:pPr>
        <w:pStyle w:val="Footer"/>
      </w:pPr>
      <w:r>
        <w:continuationSeparator/>
      </w:r>
    </w:p>
    <w:p w14:paraId="58520D3F" w14:textId="77777777" w:rsidR="0040224F" w:rsidRDefault="0040224F"/>
  </w:endnote>
  <w:endnote w:type="continuationNotice" w:id="1">
    <w:p w14:paraId="63A6E12F" w14:textId="77777777" w:rsidR="0040224F" w:rsidRDefault="00402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1C55" w14:textId="0469C3ED" w:rsidR="00567092" w:rsidRDefault="00914CA9">
    <w:pPr>
      <w:pStyle w:val="Footer"/>
    </w:pPr>
    <w:r>
      <w:rPr>
        <w:noProof/>
      </w:rPr>
      <mc:AlternateContent>
        <mc:Choice Requires="wps">
          <w:drawing>
            <wp:anchor distT="0" distB="0" distL="0" distR="0" simplePos="0" relativeHeight="251658241" behindDoc="0" locked="0" layoutInCell="1" allowOverlap="1" wp14:anchorId="688E1192" wp14:editId="780BAD77">
              <wp:simplePos x="635" y="635"/>
              <wp:positionH relativeFrom="page">
                <wp:align>center</wp:align>
              </wp:positionH>
              <wp:positionV relativeFrom="page">
                <wp:align>bottom</wp:align>
              </wp:positionV>
              <wp:extent cx="311150" cy="345440"/>
              <wp:effectExtent l="0" t="0" r="12700" b="0"/>
              <wp:wrapNone/>
              <wp:docPr id="1812315244"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47CE10EB" w14:textId="476BE495" w:rsidR="00914CA9" w:rsidRPr="00914CA9" w:rsidRDefault="00914CA9" w:rsidP="00914CA9">
                          <w:pPr>
                            <w:rPr>
                              <w:rFonts w:ascii="Calibri" w:eastAsia="Calibri" w:hAnsi="Calibri" w:cs="Calibri"/>
                              <w:noProof/>
                              <w:color w:val="000000"/>
                              <w:sz w:val="20"/>
                              <w:szCs w:val="20"/>
                            </w:rPr>
                          </w:pPr>
                          <w:r w:rsidRPr="00914CA9">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8E1192" id="_x0000_t202" coordsize="21600,21600" o:spt="202" path="m,l,21600r21600,l21600,xe">
              <v:stroke joinstyle="miter"/>
              <v:path gradientshapeok="t" o:connecttype="rect"/>
            </v:shapetype>
            <v:shape id="Textfeld 2" o:spid="_x0000_s1029" type="#_x0000_t202" alt="Public" style="position:absolute;margin-left:0;margin-top:0;width:2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" filled="f" stroked="f">
              <v:textbox style="mso-fit-shape-to-text:t" inset="0,0,0,15pt">
                <w:txbxContent>
                  <w:p w14:paraId="47CE10EB" w14:textId="476BE495" w:rsidR="00914CA9" w:rsidRPr="00914CA9" w:rsidRDefault="00914CA9" w:rsidP="00914CA9">
                    <w:pPr>
                      <w:rPr>
                        <w:rFonts w:ascii="Calibri" w:eastAsia="Calibri" w:hAnsi="Calibri" w:cs="Calibri"/>
                        <w:noProof/>
                        <w:color w:val="000000"/>
                        <w:sz w:val="20"/>
                        <w:szCs w:val="20"/>
                      </w:rPr>
                    </w:pPr>
                    <w:r w:rsidRPr="00914CA9">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2432" w14:textId="7D035C5C" w:rsidR="00AC6BB7" w:rsidRPr="00D76AD1" w:rsidRDefault="00914CA9" w:rsidP="00483963">
    <w:pPr>
      <w:pStyle w:val="Footer"/>
      <w:pBdr>
        <w:top w:val="single" w:sz="4" w:space="1" w:color="auto"/>
      </w:pBdr>
      <w:tabs>
        <w:tab w:val="clear" w:pos="4536"/>
      </w:tabs>
      <w:rPr>
        <w:sz w:val="16"/>
        <w:szCs w:val="16"/>
      </w:rPr>
    </w:pPr>
    <w:r>
      <w:rPr>
        <w:noProof/>
        <w:sz w:val="16"/>
        <w:szCs w:val="16"/>
      </w:rPr>
      <mc:AlternateContent>
        <mc:Choice Requires="wps">
          <w:drawing>
            <wp:anchor distT="0" distB="0" distL="0" distR="0" simplePos="0" relativeHeight="251658242" behindDoc="0" locked="0" layoutInCell="1" allowOverlap="1" wp14:anchorId="04FB2D63" wp14:editId="57B1BA73">
              <wp:simplePos x="901700" y="9753600"/>
              <wp:positionH relativeFrom="page">
                <wp:align>center</wp:align>
              </wp:positionH>
              <wp:positionV relativeFrom="page">
                <wp:align>bottom</wp:align>
              </wp:positionV>
              <wp:extent cx="311150" cy="345440"/>
              <wp:effectExtent l="0" t="0" r="12700" b="0"/>
              <wp:wrapNone/>
              <wp:docPr id="1980044022" name="Textfeld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75CA2765" w14:textId="67563B4F" w:rsidR="00914CA9" w:rsidRPr="00914CA9" w:rsidRDefault="00914CA9" w:rsidP="00914CA9">
                          <w:pPr>
                            <w:rPr>
                              <w:rFonts w:ascii="Calibri" w:eastAsia="Calibri" w:hAnsi="Calibri" w:cs="Calibri"/>
                              <w:noProof/>
                              <w:color w:val="000000"/>
                              <w:sz w:val="20"/>
                              <w:szCs w:val="20"/>
                            </w:rPr>
                          </w:pPr>
                          <w:r w:rsidRPr="00914CA9">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FB2D63" id="_x0000_t202" coordsize="21600,21600" o:spt="202" path="m,l,21600r21600,l21600,xe">
              <v:stroke joinstyle="miter"/>
              <v:path gradientshapeok="t" o:connecttype="rect"/>
            </v:shapetype>
            <v:shape id="Textfeld 3" o:spid="_x0000_s1030" type="#_x0000_t202" alt="Public" style="position:absolute;margin-left:0;margin-top:0;width:24.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" filled="f" stroked="f">
              <v:textbox style="mso-fit-shape-to-text:t" inset="0,0,0,15pt">
                <w:txbxContent>
                  <w:p w14:paraId="75CA2765" w14:textId="67563B4F" w:rsidR="00914CA9" w:rsidRPr="00914CA9" w:rsidRDefault="00914CA9" w:rsidP="00914CA9">
                    <w:pPr>
                      <w:rPr>
                        <w:rFonts w:ascii="Calibri" w:eastAsia="Calibri" w:hAnsi="Calibri" w:cs="Calibri"/>
                        <w:noProof/>
                        <w:color w:val="000000"/>
                        <w:sz w:val="20"/>
                        <w:szCs w:val="20"/>
                      </w:rPr>
                    </w:pPr>
                    <w:r w:rsidRPr="00914CA9">
                      <w:rPr>
                        <w:rFonts w:ascii="Calibri" w:eastAsia="Calibri" w:hAnsi="Calibri" w:cs="Calibri"/>
                        <w:noProof/>
                        <w:color w:val="000000"/>
                        <w:sz w:val="20"/>
                        <w:szCs w:val="20"/>
                      </w:rPr>
                      <w:t>Public</w:t>
                    </w:r>
                  </w:p>
                </w:txbxContent>
              </v:textbox>
              <w10:wrap anchorx="page" anchory="page"/>
            </v:shape>
          </w:pict>
        </mc:Fallback>
      </mc:AlternateContent>
    </w:r>
    <w:r w:rsidR="00AC6BB7" w:rsidRPr="00D76AD1">
      <w:rPr>
        <w:sz w:val="16"/>
        <w:szCs w:val="16"/>
      </w:rPr>
      <w:tab/>
      <w:t xml:space="preserve">Seite </w:t>
    </w:r>
    <w:r w:rsidR="00AC6BB7" w:rsidRPr="00D76AD1">
      <w:rPr>
        <w:rStyle w:val="PageNumber"/>
        <w:sz w:val="16"/>
        <w:szCs w:val="16"/>
      </w:rPr>
      <w:fldChar w:fldCharType="begin"/>
    </w:r>
    <w:r w:rsidR="00AC6BB7" w:rsidRPr="00D76AD1">
      <w:rPr>
        <w:rStyle w:val="PageNumber"/>
        <w:sz w:val="16"/>
        <w:szCs w:val="16"/>
      </w:rPr>
      <w:instrText xml:space="preserve"> PAGE </w:instrText>
    </w:r>
    <w:r w:rsidR="00AC6BB7" w:rsidRPr="00D76AD1">
      <w:rPr>
        <w:rStyle w:val="PageNumber"/>
        <w:sz w:val="16"/>
        <w:szCs w:val="16"/>
      </w:rPr>
      <w:fldChar w:fldCharType="separate"/>
    </w:r>
    <w:r w:rsidR="00C16AFD">
      <w:rPr>
        <w:rStyle w:val="PageNumber"/>
        <w:noProof/>
        <w:sz w:val="16"/>
        <w:szCs w:val="16"/>
      </w:rPr>
      <w:t>1</w:t>
    </w:r>
    <w:r w:rsidR="00AC6BB7" w:rsidRPr="00D76AD1">
      <w:rPr>
        <w:rStyle w:val="PageNumber"/>
        <w:sz w:val="16"/>
        <w:szCs w:val="16"/>
      </w:rPr>
      <w:fldChar w:fldCharType="end"/>
    </w:r>
    <w:r w:rsidR="00AC6BB7" w:rsidRPr="00D76AD1">
      <w:rPr>
        <w:rStyle w:val="PageNumber"/>
        <w:sz w:val="16"/>
        <w:szCs w:val="16"/>
      </w:rPr>
      <w:t xml:space="preserve"> / </w:t>
    </w:r>
    <w:r w:rsidR="00AC6BB7" w:rsidRPr="00D76AD1">
      <w:rPr>
        <w:rStyle w:val="PageNumber"/>
        <w:sz w:val="16"/>
        <w:szCs w:val="16"/>
      </w:rPr>
      <w:fldChar w:fldCharType="begin"/>
    </w:r>
    <w:r w:rsidR="00AC6BB7" w:rsidRPr="00D76AD1">
      <w:rPr>
        <w:rStyle w:val="PageNumber"/>
        <w:sz w:val="16"/>
        <w:szCs w:val="16"/>
      </w:rPr>
      <w:instrText xml:space="preserve"> NUMPAGES </w:instrText>
    </w:r>
    <w:r w:rsidR="00AC6BB7" w:rsidRPr="00D76AD1">
      <w:rPr>
        <w:rStyle w:val="PageNumber"/>
        <w:sz w:val="16"/>
        <w:szCs w:val="16"/>
      </w:rPr>
      <w:fldChar w:fldCharType="separate"/>
    </w:r>
    <w:r w:rsidR="00C16AFD">
      <w:rPr>
        <w:rStyle w:val="PageNumber"/>
        <w:noProof/>
        <w:sz w:val="16"/>
        <w:szCs w:val="16"/>
      </w:rPr>
      <w:t>31</w:t>
    </w:r>
    <w:r w:rsidR="00AC6BB7" w:rsidRPr="00D76AD1">
      <w:rPr>
        <w:rStyle w:val="PageNumber"/>
        <w:sz w:val="16"/>
        <w:szCs w:val="16"/>
      </w:rPr>
      <w:fldChar w:fldCharType="end"/>
    </w:r>
  </w:p>
  <w:p w14:paraId="415C79DD" w14:textId="77777777" w:rsidR="00AC6BB7" w:rsidRDefault="00094C09" w:rsidP="00483963">
    <w:pPr>
      <w:pStyle w:val="Footer"/>
      <w:tabs>
        <w:tab w:val="clear" w:pos="4536"/>
        <w:tab w:val="left" w:pos="5760"/>
      </w:tabs>
      <w:rPr>
        <w:sz w:val="16"/>
        <w:szCs w:val="16"/>
      </w:rPr>
    </w:pPr>
    <w:r>
      <w:rPr>
        <w:sz w:val="16"/>
        <w:szCs w:val="16"/>
      </w:rPr>
      <w:t>Erstellt:</w:t>
    </w:r>
    <w:r w:rsidR="009048B7">
      <w:rPr>
        <w:sz w:val="16"/>
        <w:szCs w:val="16"/>
      </w:rPr>
      <w:t xml:space="preserve"> Gradl, Robert</w:t>
    </w:r>
  </w:p>
  <w:p w14:paraId="13BBFC1D" w14:textId="77777777" w:rsidR="00094C09" w:rsidRDefault="00094C09" w:rsidP="00483963">
    <w:pPr>
      <w:pStyle w:val="Footer"/>
      <w:tabs>
        <w:tab w:val="clear" w:pos="4536"/>
        <w:tab w:val="left" w:pos="5760"/>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730AFD">
      <w:rPr>
        <w:noProof/>
        <w:sz w:val="16"/>
        <w:szCs w:val="16"/>
      </w:rPr>
      <w:t>M_01</w:t>
    </w:r>
    <w:r w:rsidR="00A1556E">
      <w:rPr>
        <w:noProof/>
        <w:sz w:val="16"/>
        <w:szCs w:val="16"/>
      </w:rPr>
      <w:t>2_003_Handbuch_Logistik_G</w:t>
    </w:r>
    <w:r w:rsidR="00730AFD">
      <w:rPr>
        <w:noProof/>
        <w:sz w:val="16"/>
        <w:szCs w:val="16"/>
      </w:rPr>
      <w:t>RAMMER_</w:t>
    </w:r>
    <w:r w:rsidR="00A1556E">
      <w:rPr>
        <w:noProof/>
        <w:sz w:val="16"/>
        <w:szCs w:val="16"/>
      </w:rPr>
      <w:t>Group</w:t>
    </w:r>
    <w:r w:rsidR="00730AFD">
      <w:rPr>
        <w:noProof/>
        <w:sz w:val="16"/>
        <w:szCs w:val="16"/>
      </w:rPr>
      <w:t>.doc</w:t>
    </w:r>
    <w:r>
      <w:rPr>
        <w:sz w:val="16"/>
        <w:szCs w:val="16"/>
      </w:rPr>
      <w:fldChar w:fldCharType="end"/>
    </w:r>
  </w:p>
  <w:p w14:paraId="25A56362" w14:textId="5CC23C04" w:rsidR="00567092" w:rsidRDefault="00FA456E" w:rsidP="00483963">
    <w:pPr>
      <w:pStyle w:val="Footer"/>
      <w:tabs>
        <w:tab w:val="clear" w:pos="4536"/>
        <w:tab w:val="left" w:pos="5760"/>
      </w:tabs>
      <w:rPr>
        <w:sz w:val="16"/>
        <w:szCs w:val="16"/>
      </w:rPr>
    </w:pPr>
    <w:r>
      <w:rPr>
        <w:sz w:val="16"/>
        <w:szCs w:val="16"/>
      </w:rPr>
      <w:t>Änderungsstand: 0</w:t>
    </w:r>
    <w:r w:rsidR="00567092">
      <w:rPr>
        <w:sz w:val="16"/>
        <w:szCs w:val="16"/>
      </w:rPr>
      <w:t>1</w:t>
    </w:r>
    <w:r w:rsidR="00DD7064">
      <w:rPr>
        <w:sz w:val="16"/>
        <w:szCs w:val="16"/>
      </w:rPr>
      <w:t>2</w:t>
    </w:r>
    <w:r>
      <w:rPr>
        <w:sz w:val="16"/>
        <w:szCs w:val="16"/>
      </w:rPr>
      <w:t xml:space="preserve"> </w:t>
    </w:r>
    <w:r w:rsidR="00567092">
      <w:rPr>
        <w:sz w:val="16"/>
        <w:szCs w:val="16"/>
      </w:rPr>
      <w:t>–</w:t>
    </w:r>
    <w:r>
      <w:rPr>
        <w:sz w:val="16"/>
        <w:szCs w:val="16"/>
      </w:rPr>
      <w:t xml:space="preserve"> </w:t>
    </w:r>
    <w:r w:rsidR="005615F5">
      <w:rPr>
        <w:sz w:val="16"/>
        <w:szCs w:val="16"/>
      </w:rPr>
      <w:t>2</w:t>
    </w:r>
    <w:r w:rsidR="00DD7064">
      <w:rPr>
        <w:sz w:val="16"/>
        <w:szCs w:val="16"/>
      </w:rPr>
      <w:t>1</w:t>
    </w:r>
    <w:r w:rsidR="005615F5">
      <w:rPr>
        <w:sz w:val="16"/>
        <w:szCs w:val="16"/>
      </w:rPr>
      <w:t>.01.25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7CA5" w14:textId="5952C4BF" w:rsidR="00567092" w:rsidRDefault="00914CA9">
    <w:pPr>
      <w:pStyle w:val="Footer"/>
    </w:pPr>
    <w:r>
      <w:rPr>
        <w:noProof/>
      </w:rPr>
      <mc:AlternateContent>
        <mc:Choice Requires="wps">
          <w:drawing>
            <wp:anchor distT="0" distB="0" distL="0" distR="0" simplePos="0" relativeHeight="251658240" behindDoc="0" locked="0" layoutInCell="1" allowOverlap="1" wp14:anchorId="5752B41E" wp14:editId="1252D5BD">
              <wp:simplePos x="635" y="635"/>
              <wp:positionH relativeFrom="page">
                <wp:align>center</wp:align>
              </wp:positionH>
              <wp:positionV relativeFrom="page">
                <wp:align>bottom</wp:align>
              </wp:positionV>
              <wp:extent cx="311150" cy="345440"/>
              <wp:effectExtent l="0" t="0" r="12700" b="0"/>
              <wp:wrapNone/>
              <wp:docPr id="1545094484" name="Textfeld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71366F5A" w14:textId="505AC063" w:rsidR="00914CA9" w:rsidRPr="00914CA9" w:rsidRDefault="00914CA9" w:rsidP="00914CA9">
                          <w:pPr>
                            <w:rPr>
                              <w:rFonts w:ascii="Calibri" w:eastAsia="Calibri" w:hAnsi="Calibri" w:cs="Calibri"/>
                              <w:noProof/>
                              <w:color w:val="000000"/>
                              <w:sz w:val="20"/>
                              <w:szCs w:val="20"/>
                            </w:rPr>
                          </w:pPr>
                          <w:r w:rsidRPr="00914CA9">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2B41E" id="_x0000_t202" coordsize="21600,21600" o:spt="202" path="m,l,21600r21600,l21600,xe">
              <v:stroke joinstyle="miter"/>
              <v:path gradientshapeok="t" o:connecttype="rect"/>
            </v:shapetype>
            <v:shape id="Textfeld 1" o:spid="_x0000_s1031" type="#_x0000_t202" alt="Public" style="position:absolute;margin-left:0;margin-top:0;width:2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" filled="f" stroked="f">
              <v:textbox style="mso-fit-shape-to-text:t" inset="0,0,0,15pt">
                <w:txbxContent>
                  <w:p w14:paraId="71366F5A" w14:textId="505AC063" w:rsidR="00914CA9" w:rsidRPr="00914CA9" w:rsidRDefault="00914CA9" w:rsidP="00914CA9">
                    <w:pPr>
                      <w:rPr>
                        <w:rFonts w:ascii="Calibri" w:eastAsia="Calibri" w:hAnsi="Calibri" w:cs="Calibri"/>
                        <w:noProof/>
                        <w:color w:val="000000"/>
                        <w:sz w:val="20"/>
                        <w:szCs w:val="20"/>
                      </w:rPr>
                    </w:pPr>
                    <w:r w:rsidRPr="00914CA9">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E9BA" w14:textId="77777777" w:rsidR="0040224F" w:rsidRDefault="0040224F" w:rsidP="00FA62B6">
      <w:pPr>
        <w:pStyle w:val="Footer"/>
      </w:pPr>
      <w:r>
        <w:separator/>
      </w:r>
    </w:p>
    <w:p w14:paraId="7C805ACF" w14:textId="77777777" w:rsidR="0040224F" w:rsidRDefault="0040224F"/>
  </w:footnote>
  <w:footnote w:type="continuationSeparator" w:id="0">
    <w:p w14:paraId="2C7557B7" w14:textId="77777777" w:rsidR="0040224F" w:rsidRDefault="0040224F" w:rsidP="00FA62B6">
      <w:pPr>
        <w:pStyle w:val="Footer"/>
      </w:pPr>
      <w:r>
        <w:continuationSeparator/>
      </w:r>
    </w:p>
    <w:p w14:paraId="2CB2D1A9" w14:textId="77777777" w:rsidR="0040224F" w:rsidRDefault="0040224F"/>
  </w:footnote>
  <w:footnote w:type="continuationNotice" w:id="1">
    <w:p w14:paraId="2D528D1C" w14:textId="77777777" w:rsidR="0040224F" w:rsidRDefault="00402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354E" w14:textId="77777777" w:rsidR="00DD7064" w:rsidRDefault="00DD7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3C0C" w14:textId="67697C1E" w:rsidR="00AC6BB7" w:rsidRDefault="00AC6BB7" w:rsidP="00E70451">
    <w:pPr>
      <w:pStyle w:val="Header"/>
      <w:jc w:val="right"/>
    </w:pPr>
  </w:p>
  <w:p w14:paraId="406CFECA" w14:textId="07E9DA74" w:rsidR="00AC6BB7" w:rsidRDefault="00E93806" w:rsidP="00B67453">
    <w:pPr>
      <w:pStyle w:val="Header"/>
      <w:ind w:right="120"/>
      <w:jc w:val="right"/>
    </w:pPr>
    <w:r>
      <w:rPr>
        <w:noProof/>
      </w:rPr>
      <w:drawing>
        <wp:inline distT="0" distB="0" distL="0" distR="0" wp14:anchorId="1ABEDE98" wp14:editId="59164D31">
          <wp:extent cx="1163596" cy="716118"/>
          <wp:effectExtent l="0" t="0" r="0" b="8255"/>
          <wp:docPr id="29536609" name="Picture 1" descr="A blue circle with white lines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6609" name="Picture 1" descr="A blue circle with white lines and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0010" cy="7262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6F48" w14:textId="77777777" w:rsidR="00DD7064" w:rsidRDefault="00DD7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69F8"/>
    <w:multiLevelType w:val="hybridMultilevel"/>
    <w:tmpl w:val="5554CD56"/>
    <w:lvl w:ilvl="0" w:tplc="F41A446A">
      <w:start w:val="1"/>
      <w:numFmt w:val="bullet"/>
      <w:pStyle w:val="Textkrper-Aufzhlung2"/>
      <w:lvlText w:val="o"/>
      <w:lvlJc w:val="left"/>
      <w:pPr>
        <w:tabs>
          <w:tab w:val="num" w:pos="717"/>
        </w:tabs>
        <w:ind w:left="717" w:hanging="360"/>
      </w:pPr>
      <w:rPr>
        <w:rFonts w:ascii="Courier New" w:hAnsi="Courier New"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76E0247"/>
    <w:multiLevelType w:val="hybridMultilevel"/>
    <w:tmpl w:val="B3EE32FC"/>
    <w:lvl w:ilvl="0" w:tplc="C994E3E2">
      <w:start w:val="1"/>
      <w:numFmt w:val="decimal"/>
      <w:pStyle w:val="TextkrperNum"/>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35623FDC"/>
    <w:multiLevelType w:val="hybridMultilevel"/>
    <w:tmpl w:val="4DE6D536"/>
    <w:lvl w:ilvl="0" w:tplc="E01E6080">
      <w:start w:val="1"/>
      <w:numFmt w:val="bullet"/>
      <w:pStyle w:val="Textkrper-Aufzhlung3"/>
      <w:lvlText w:val=""/>
      <w:lvlJc w:val="left"/>
      <w:pPr>
        <w:tabs>
          <w:tab w:val="num" w:pos="1434"/>
        </w:tabs>
        <w:ind w:left="1434"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AE3592"/>
    <w:multiLevelType w:val="hybridMultilevel"/>
    <w:tmpl w:val="E2D0005C"/>
    <w:lvl w:ilvl="0" w:tplc="0407000F">
      <w:start w:val="1"/>
      <w:numFmt w:val="decimal"/>
      <w:lvlText w:val="%1."/>
      <w:lvlJc w:val="left"/>
      <w:pPr>
        <w:tabs>
          <w:tab w:val="num" w:pos="357"/>
        </w:tabs>
        <w:ind w:left="357"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26C6F"/>
    <w:multiLevelType w:val="hybridMultilevel"/>
    <w:tmpl w:val="7736B68A"/>
    <w:lvl w:ilvl="0" w:tplc="772C6A7E">
      <w:start w:val="1"/>
      <w:numFmt w:val="lowerLetter"/>
      <w:pStyle w:val="TextkrperAlphaNum"/>
      <w:lvlText w:val="%1)"/>
      <w:lvlJc w:val="left"/>
      <w:pPr>
        <w:tabs>
          <w:tab w:val="num" w:pos="323"/>
        </w:tabs>
        <w:ind w:left="323" w:hanging="323"/>
      </w:pPr>
      <w:rPr>
        <w:rFonts w:hint="default"/>
      </w:rPr>
    </w:lvl>
    <w:lvl w:ilvl="1" w:tplc="04070019" w:tentative="1">
      <w:start w:val="1"/>
      <w:numFmt w:val="lowerLetter"/>
      <w:lvlText w:val="%2."/>
      <w:lvlJc w:val="left"/>
      <w:pPr>
        <w:tabs>
          <w:tab w:val="num" w:pos="1083"/>
        </w:tabs>
        <w:ind w:left="1083" w:hanging="360"/>
      </w:pPr>
    </w:lvl>
    <w:lvl w:ilvl="2" w:tplc="0407001B" w:tentative="1">
      <w:start w:val="1"/>
      <w:numFmt w:val="lowerRoman"/>
      <w:lvlText w:val="%3."/>
      <w:lvlJc w:val="right"/>
      <w:pPr>
        <w:tabs>
          <w:tab w:val="num" w:pos="1803"/>
        </w:tabs>
        <w:ind w:left="1803" w:hanging="180"/>
      </w:pPr>
    </w:lvl>
    <w:lvl w:ilvl="3" w:tplc="0407000F" w:tentative="1">
      <w:start w:val="1"/>
      <w:numFmt w:val="decimal"/>
      <w:lvlText w:val="%4."/>
      <w:lvlJc w:val="left"/>
      <w:pPr>
        <w:tabs>
          <w:tab w:val="num" w:pos="2523"/>
        </w:tabs>
        <w:ind w:left="2523" w:hanging="360"/>
      </w:pPr>
    </w:lvl>
    <w:lvl w:ilvl="4" w:tplc="04070019" w:tentative="1">
      <w:start w:val="1"/>
      <w:numFmt w:val="lowerLetter"/>
      <w:lvlText w:val="%5."/>
      <w:lvlJc w:val="left"/>
      <w:pPr>
        <w:tabs>
          <w:tab w:val="num" w:pos="3243"/>
        </w:tabs>
        <w:ind w:left="3243" w:hanging="360"/>
      </w:pPr>
    </w:lvl>
    <w:lvl w:ilvl="5" w:tplc="0407001B" w:tentative="1">
      <w:start w:val="1"/>
      <w:numFmt w:val="lowerRoman"/>
      <w:lvlText w:val="%6."/>
      <w:lvlJc w:val="right"/>
      <w:pPr>
        <w:tabs>
          <w:tab w:val="num" w:pos="3963"/>
        </w:tabs>
        <w:ind w:left="3963" w:hanging="180"/>
      </w:pPr>
    </w:lvl>
    <w:lvl w:ilvl="6" w:tplc="0407000F" w:tentative="1">
      <w:start w:val="1"/>
      <w:numFmt w:val="decimal"/>
      <w:lvlText w:val="%7."/>
      <w:lvlJc w:val="left"/>
      <w:pPr>
        <w:tabs>
          <w:tab w:val="num" w:pos="4683"/>
        </w:tabs>
        <w:ind w:left="4683" w:hanging="360"/>
      </w:pPr>
    </w:lvl>
    <w:lvl w:ilvl="7" w:tplc="04070019" w:tentative="1">
      <w:start w:val="1"/>
      <w:numFmt w:val="lowerLetter"/>
      <w:lvlText w:val="%8."/>
      <w:lvlJc w:val="left"/>
      <w:pPr>
        <w:tabs>
          <w:tab w:val="num" w:pos="5403"/>
        </w:tabs>
        <w:ind w:left="5403" w:hanging="360"/>
      </w:pPr>
    </w:lvl>
    <w:lvl w:ilvl="8" w:tplc="0407001B" w:tentative="1">
      <w:start w:val="1"/>
      <w:numFmt w:val="lowerRoman"/>
      <w:lvlText w:val="%9."/>
      <w:lvlJc w:val="right"/>
      <w:pPr>
        <w:tabs>
          <w:tab w:val="num" w:pos="6123"/>
        </w:tabs>
        <w:ind w:left="6123" w:hanging="180"/>
      </w:pPr>
    </w:lvl>
  </w:abstractNum>
  <w:abstractNum w:abstractNumId="5" w15:restartNumberingAfterBreak="0">
    <w:nsid w:val="5DEA1387"/>
    <w:multiLevelType w:val="hybridMultilevel"/>
    <w:tmpl w:val="C88C288A"/>
    <w:lvl w:ilvl="0" w:tplc="93327D32">
      <w:start w:val="1"/>
      <w:numFmt w:val="bullet"/>
      <w:pStyle w:val="Textkrper-Aufzhlung"/>
      <w:lvlText w:val=""/>
      <w:lvlJc w:val="left"/>
      <w:pPr>
        <w:tabs>
          <w:tab w:val="num" w:pos="357"/>
        </w:tabs>
        <w:ind w:left="357"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BC3464"/>
    <w:multiLevelType w:val="multilevel"/>
    <w:tmpl w:val="43907698"/>
    <w:lvl w:ilvl="0">
      <w:start w:val="1"/>
      <w:numFmt w:val="decimal"/>
      <w:pStyle w:val="b1"/>
      <w:lvlText w:val="%1"/>
      <w:lvlJc w:val="left"/>
      <w:pPr>
        <w:tabs>
          <w:tab w:val="num" w:pos="851"/>
        </w:tabs>
        <w:ind w:left="851" w:hanging="851"/>
      </w:pPr>
      <w:rPr>
        <w:rFonts w:hint="default"/>
      </w:rPr>
    </w:lvl>
    <w:lvl w:ilvl="1">
      <w:start w:val="1"/>
      <w:numFmt w:val="decimal"/>
      <w:pStyle w:val="b2"/>
      <w:lvlText w:val="%1.%2"/>
      <w:lvlJc w:val="left"/>
      <w:pPr>
        <w:tabs>
          <w:tab w:val="num" w:pos="851"/>
        </w:tabs>
        <w:ind w:left="851" w:hanging="851"/>
      </w:pPr>
      <w:rPr>
        <w:rFonts w:hint="default"/>
      </w:rPr>
    </w:lvl>
    <w:lvl w:ilvl="2">
      <w:start w:val="1"/>
      <w:numFmt w:val="decimal"/>
      <w:pStyle w:val="b3"/>
      <w:lvlText w:val="%1.%2.%3"/>
      <w:lvlJc w:val="left"/>
      <w:pPr>
        <w:tabs>
          <w:tab w:val="num" w:pos="851"/>
        </w:tabs>
        <w:ind w:left="851" w:hanging="851"/>
      </w:pPr>
      <w:rPr>
        <w:rFonts w:hint="default"/>
      </w:rPr>
    </w:lvl>
    <w:lvl w:ilvl="3">
      <w:start w:val="1"/>
      <w:numFmt w:val="decimal"/>
      <w:pStyle w:val="b4"/>
      <w:lvlText w:val="%1.%2.%3.%4"/>
      <w:lvlJc w:val="left"/>
      <w:pPr>
        <w:tabs>
          <w:tab w:val="num" w:pos="864"/>
        </w:tabs>
        <w:ind w:left="864" w:hanging="864"/>
      </w:pPr>
      <w:rPr>
        <w:rFonts w:hint="default"/>
      </w:rPr>
    </w:lvl>
    <w:lvl w:ilvl="4">
      <w:start w:val="1"/>
      <w:numFmt w:val="decimal"/>
      <w:pStyle w:val="b5"/>
      <w:lvlText w:val="%1.%2.%3.%4.%5"/>
      <w:lvlJc w:val="left"/>
      <w:pPr>
        <w:tabs>
          <w:tab w:val="num" w:pos="1219"/>
        </w:tabs>
        <w:ind w:left="1219" w:hanging="1219"/>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FA11AB5"/>
    <w:multiLevelType w:val="multilevel"/>
    <w:tmpl w:val="830CCE90"/>
    <w:lvl w:ilvl="0">
      <w:start w:val="1"/>
      <w:numFmt w:val="decimal"/>
      <w:pStyle w:val="Heading1"/>
      <w:lvlText w:val="%1"/>
      <w:lvlJc w:val="left"/>
      <w:pPr>
        <w:tabs>
          <w:tab w:val="num" w:pos="851"/>
        </w:tabs>
        <w:ind w:left="851" w:hanging="851"/>
      </w:pPr>
      <w:rPr>
        <w:rFonts w:hint="default"/>
      </w:rPr>
    </w:lvl>
    <w:lvl w:ilvl="1">
      <w:start w:val="1"/>
      <w:numFmt w:val="decimal"/>
      <w:pStyle w:val="Formatvorlageberschrift2Arial12ptFett"/>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Formatvorlageberschrift411pt"/>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99629061">
    <w:abstractNumId w:val="7"/>
  </w:num>
  <w:num w:numId="2" w16cid:durableId="388116933">
    <w:abstractNumId w:val="4"/>
  </w:num>
  <w:num w:numId="3" w16cid:durableId="2115202352">
    <w:abstractNumId w:val="1"/>
  </w:num>
  <w:num w:numId="4" w16cid:durableId="481578452">
    <w:abstractNumId w:val="5"/>
  </w:num>
  <w:num w:numId="5" w16cid:durableId="355235692">
    <w:abstractNumId w:val="0"/>
  </w:num>
  <w:num w:numId="6" w16cid:durableId="1218518697">
    <w:abstractNumId w:val="2"/>
  </w:num>
  <w:num w:numId="7" w16cid:durableId="21396350">
    <w:abstractNumId w:val="6"/>
  </w:num>
  <w:num w:numId="8" w16cid:durableId="1986929413">
    <w:abstractNumId w:val="6"/>
  </w:num>
  <w:num w:numId="9" w16cid:durableId="73639243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78"/>
    <w:rsid w:val="00000992"/>
    <w:rsid w:val="00012081"/>
    <w:rsid w:val="0001378B"/>
    <w:rsid w:val="000139F5"/>
    <w:rsid w:val="0004349D"/>
    <w:rsid w:val="000441D4"/>
    <w:rsid w:val="00060375"/>
    <w:rsid w:val="000615CC"/>
    <w:rsid w:val="00074017"/>
    <w:rsid w:val="00074602"/>
    <w:rsid w:val="00080C8A"/>
    <w:rsid w:val="00081A40"/>
    <w:rsid w:val="0009286D"/>
    <w:rsid w:val="00094C09"/>
    <w:rsid w:val="000A232F"/>
    <w:rsid w:val="000A43CB"/>
    <w:rsid w:val="000B21CD"/>
    <w:rsid w:val="000B40DA"/>
    <w:rsid w:val="000B7517"/>
    <w:rsid w:val="000B7A6B"/>
    <w:rsid w:val="000C49B5"/>
    <w:rsid w:val="000D06A7"/>
    <w:rsid w:val="000E1B6F"/>
    <w:rsid w:val="000E582A"/>
    <w:rsid w:val="000E6D2C"/>
    <w:rsid w:val="000F7207"/>
    <w:rsid w:val="00100319"/>
    <w:rsid w:val="0014577B"/>
    <w:rsid w:val="00146D9E"/>
    <w:rsid w:val="001514D9"/>
    <w:rsid w:val="0017130F"/>
    <w:rsid w:val="00174333"/>
    <w:rsid w:val="001746BA"/>
    <w:rsid w:val="00175196"/>
    <w:rsid w:val="001770D9"/>
    <w:rsid w:val="00177F8D"/>
    <w:rsid w:val="00181916"/>
    <w:rsid w:val="00192C68"/>
    <w:rsid w:val="001A307A"/>
    <w:rsid w:val="001A4B39"/>
    <w:rsid w:val="001C17A8"/>
    <w:rsid w:val="001D5BC8"/>
    <w:rsid w:val="001F025F"/>
    <w:rsid w:val="001F160C"/>
    <w:rsid w:val="001F7522"/>
    <w:rsid w:val="0020611B"/>
    <w:rsid w:val="00230B85"/>
    <w:rsid w:val="00260515"/>
    <w:rsid w:val="0028365E"/>
    <w:rsid w:val="002A26E8"/>
    <w:rsid w:val="002C01B9"/>
    <w:rsid w:val="002C11FD"/>
    <w:rsid w:val="002C23EF"/>
    <w:rsid w:val="002C302C"/>
    <w:rsid w:val="002D26C1"/>
    <w:rsid w:val="002D2728"/>
    <w:rsid w:val="002F5D1F"/>
    <w:rsid w:val="00300663"/>
    <w:rsid w:val="003125AB"/>
    <w:rsid w:val="00314C9D"/>
    <w:rsid w:val="00324C17"/>
    <w:rsid w:val="003255C3"/>
    <w:rsid w:val="003257AC"/>
    <w:rsid w:val="003257FE"/>
    <w:rsid w:val="00370EAD"/>
    <w:rsid w:val="00375EBB"/>
    <w:rsid w:val="00376D12"/>
    <w:rsid w:val="003A0C5E"/>
    <w:rsid w:val="003B78BC"/>
    <w:rsid w:val="003C2746"/>
    <w:rsid w:val="003C5A6F"/>
    <w:rsid w:val="003D15F9"/>
    <w:rsid w:val="003E26A9"/>
    <w:rsid w:val="003E40D7"/>
    <w:rsid w:val="003E511F"/>
    <w:rsid w:val="003F000A"/>
    <w:rsid w:val="003F2507"/>
    <w:rsid w:val="0040224F"/>
    <w:rsid w:val="00407A2D"/>
    <w:rsid w:val="004449B1"/>
    <w:rsid w:val="0045058D"/>
    <w:rsid w:val="004507F7"/>
    <w:rsid w:val="00460EDC"/>
    <w:rsid w:val="00463EDD"/>
    <w:rsid w:val="004733E5"/>
    <w:rsid w:val="00483963"/>
    <w:rsid w:val="00484454"/>
    <w:rsid w:val="00486378"/>
    <w:rsid w:val="004A71E2"/>
    <w:rsid w:val="004B21A4"/>
    <w:rsid w:val="004B3DDC"/>
    <w:rsid w:val="004B4E75"/>
    <w:rsid w:val="004C5B2C"/>
    <w:rsid w:val="004C6B34"/>
    <w:rsid w:val="004E06FE"/>
    <w:rsid w:val="004E6DAB"/>
    <w:rsid w:val="0054022C"/>
    <w:rsid w:val="00540BA5"/>
    <w:rsid w:val="00542840"/>
    <w:rsid w:val="00544410"/>
    <w:rsid w:val="005615F5"/>
    <w:rsid w:val="00561AF3"/>
    <w:rsid w:val="0056377F"/>
    <w:rsid w:val="00567092"/>
    <w:rsid w:val="005729EB"/>
    <w:rsid w:val="005B3AF8"/>
    <w:rsid w:val="005C30C7"/>
    <w:rsid w:val="005D347B"/>
    <w:rsid w:val="005F1777"/>
    <w:rsid w:val="005F663D"/>
    <w:rsid w:val="006141B3"/>
    <w:rsid w:val="00620377"/>
    <w:rsid w:val="006241B6"/>
    <w:rsid w:val="006311CC"/>
    <w:rsid w:val="006328E2"/>
    <w:rsid w:val="006626E3"/>
    <w:rsid w:val="00673A04"/>
    <w:rsid w:val="0067627D"/>
    <w:rsid w:val="00682D7C"/>
    <w:rsid w:val="006847C4"/>
    <w:rsid w:val="00687823"/>
    <w:rsid w:val="0069338B"/>
    <w:rsid w:val="00693F6A"/>
    <w:rsid w:val="006946C3"/>
    <w:rsid w:val="006A67A3"/>
    <w:rsid w:val="006A7954"/>
    <w:rsid w:val="006C5BB0"/>
    <w:rsid w:val="006C7B68"/>
    <w:rsid w:val="006D375B"/>
    <w:rsid w:val="006D6568"/>
    <w:rsid w:val="006F12E4"/>
    <w:rsid w:val="006F5D93"/>
    <w:rsid w:val="007108C5"/>
    <w:rsid w:val="0071683B"/>
    <w:rsid w:val="00720901"/>
    <w:rsid w:val="00730AFD"/>
    <w:rsid w:val="00730BD9"/>
    <w:rsid w:val="00736598"/>
    <w:rsid w:val="00744976"/>
    <w:rsid w:val="007474DD"/>
    <w:rsid w:val="0076182C"/>
    <w:rsid w:val="007642CB"/>
    <w:rsid w:val="007724D0"/>
    <w:rsid w:val="007B2C1F"/>
    <w:rsid w:val="007C478B"/>
    <w:rsid w:val="007C501E"/>
    <w:rsid w:val="007C5F47"/>
    <w:rsid w:val="007C7C16"/>
    <w:rsid w:val="007D1FBB"/>
    <w:rsid w:val="007E115F"/>
    <w:rsid w:val="00815AA0"/>
    <w:rsid w:val="00836A57"/>
    <w:rsid w:val="00863631"/>
    <w:rsid w:val="00880837"/>
    <w:rsid w:val="008A3B31"/>
    <w:rsid w:val="008A7715"/>
    <w:rsid w:val="008C0122"/>
    <w:rsid w:val="008C1F49"/>
    <w:rsid w:val="008C429E"/>
    <w:rsid w:val="008D25B0"/>
    <w:rsid w:val="00902DDF"/>
    <w:rsid w:val="0090314B"/>
    <w:rsid w:val="009048B7"/>
    <w:rsid w:val="009129BB"/>
    <w:rsid w:val="009130F3"/>
    <w:rsid w:val="00914CA9"/>
    <w:rsid w:val="00921977"/>
    <w:rsid w:val="009267C5"/>
    <w:rsid w:val="00927D35"/>
    <w:rsid w:val="00935346"/>
    <w:rsid w:val="00937D7E"/>
    <w:rsid w:val="00944547"/>
    <w:rsid w:val="00950E3F"/>
    <w:rsid w:val="00953DEC"/>
    <w:rsid w:val="00956B89"/>
    <w:rsid w:val="00972AAF"/>
    <w:rsid w:val="00993D50"/>
    <w:rsid w:val="00997D01"/>
    <w:rsid w:val="009A0347"/>
    <w:rsid w:val="009C68D7"/>
    <w:rsid w:val="009C74C8"/>
    <w:rsid w:val="009F354E"/>
    <w:rsid w:val="009F7C7B"/>
    <w:rsid w:val="00A008FA"/>
    <w:rsid w:val="00A1556E"/>
    <w:rsid w:val="00A16B1A"/>
    <w:rsid w:val="00A37592"/>
    <w:rsid w:val="00A42FAB"/>
    <w:rsid w:val="00A50760"/>
    <w:rsid w:val="00A557DB"/>
    <w:rsid w:val="00A746C1"/>
    <w:rsid w:val="00A77E5A"/>
    <w:rsid w:val="00A84944"/>
    <w:rsid w:val="00A94E45"/>
    <w:rsid w:val="00AA3386"/>
    <w:rsid w:val="00AC25F1"/>
    <w:rsid w:val="00AC6BB7"/>
    <w:rsid w:val="00AD0BF5"/>
    <w:rsid w:val="00AE3CC5"/>
    <w:rsid w:val="00AE56DE"/>
    <w:rsid w:val="00B07531"/>
    <w:rsid w:val="00B17C8B"/>
    <w:rsid w:val="00B320DF"/>
    <w:rsid w:val="00B415F8"/>
    <w:rsid w:val="00B44676"/>
    <w:rsid w:val="00B47205"/>
    <w:rsid w:val="00B51590"/>
    <w:rsid w:val="00B51796"/>
    <w:rsid w:val="00B54879"/>
    <w:rsid w:val="00B67453"/>
    <w:rsid w:val="00B9425D"/>
    <w:rsid w:val="00BB5E23"/>
    <w:rsid w:val="00BC06B2"/>
    <w:rsid w:val="00BC5C2B"/>
    <w:rsid w:val="00BD6DE5"/>
    <w:rsid w:val="00BF15BC"/>
    <w:rsid w:val="00BF3B86"/>
    <w:rsid w:val="00C021AD"/>
    <w:rsid w:val="00C16AFD"/>
    <w:rsid w:val="00C2329D"/>
    <w:rsid w:val="00C2485E"/>
    <w:rsid w:val="00C25149"/>
    <w:rsid w:val="00C258EE"/>
    <w:rsid w:val="00C56A9E"/>
    <w:rsid w:val="00C579BD"/>
    <w:rsid w:val="00C65105"/>
    <w:rsid w:val="00C7063D"/>
    <w:rsid w:val="00C75230"/>
    <w:rsid w:val="00C82A6F"/>
    <w:rsid w:val="00C91755"/>
    <w:rsid w:val="00C96A35"/>
    <w:rsid w:val="00CA0342"/>
    <w:rsid w:val="00CA3DC7"/>
    <w:rsid w:val="00CA45DD"/>
    <w:rsid w:val="00CB259C"/>
    <w:rsid w:val="00CB4EDE"/>
    <w:rsid w:val="00CC217C"/>
    <w:rsid w:val="00CF213E"/>
    <w:rsid w:val="00D268E1"/>
    <w:rsid w:val="00D40138"/>
    <w:rsid w:val="00D44E71"/>
    <w:rsid w:val="00D4730F"/>
    <w:rsid w:val="00D569FD"/>
    <w:rsid w:val="00D7379D"/>
    <w:rsid w:val="00D91305"/>
    <w:rsid w:val="00D947C9"/>
    <w:rsid w:val="00DB16AB"/>
    <w:rsid w:val="00DB7ED0"/>
    <w:rsid w:val="00DC6E3D"/>
    <w:rsid w:val="00DD7064"/>
    <w:rsid w:val="00DE119D"/>
    <w:rsid w:val="00DE6BC2"/>
    <w:rsid w:val="00DF0698"/>
    <w:rsid w:val="00E005FE"/>
    <w:rsid w:val="00E07ECA"/>
    <w:rsid w:val="00E1279F"/>
    <w:rsid w:val="00E147F4"/>
    <w:rsid w:val="00E25132"/>
    <w:rsid w:val="00E27235"/>
    <w:rsid w:val="00E3422F"/>
    <w:rsid w:val="00E37101"/>
    <w:rsid w:val="00E60C54"/>
    <w:rsid w:val="00E6235D"/>
    <w:rsid w:val="00E70451"/>
    <w:rsid w:val="00E85FE8"/>
    <w:rsid w:val="00E92A51"/>
    <w:rsid w:val="00E93806"/>
    <w:rsid w:val="00E94E7E"/>
    <w:rsid w:val="00EA0EC7"/>
    <w:rsid w:val="00EC2C6E"/>
    <w:rsid w:val="00EC6FA9"/>
    <w:rsid w:val="00F022B4"/>
    <w:rsid w:val="00F06FFF"/>
    <w:rsid w:val="00F07315"/>
    <w:rsid w:val="00F1044D"/>
    <w:rsid w:val="00F11EA1"/>
    <w:rsid w:val="00F15454"/>
    <w:rsid w:val="00F16898"/>
    <w:rsid w:val="00F20E9D"/>
    <w:rsid w:val="00F22529"/>
    <w:rsid w:val="00F27910"/>
    <w:rsid w:val="00F33D57"/>
    <w:rsid w:val="00F41CA0"/>
    <w:rsid w:val="00F45A93"/>
    <w:rsid w:val="00F4701C"/>
    <w:rsid w:val="00F47595"/>
    <w:rsid w:val="00F608B3"/>
    <w:rsid w:val="00F64DF9"/>
    <w:rsid w:val="00F72E2B"/>
    <w:rsid w:val="00F768A0"/>
    <w:rsid w:val="00F80A57"/>
    <w:rsid w:val="00F82492"/>
    <w:rsid w:val="00F87EBF"/>
    <w:rsid w:val="00F96AD9"/>
    <w:rsid w:val="00FA456E"/>
    <w:rsid w:val="00FA62B6"/>
    <w:rsid w:val="00FB06AF"/>
    <w:rsid w:val="00FD524B"/>
    <w:rsid w:val="00FE4D0F"/>
    <w:rsid w:val="00FE5783"/>
    <w:rsid w:val="00FF0929"/>
    <w:rsid w:val="00FF3631"/>
    <w:rsid w:val="1FBC89A9"/>
    <w:rsid w:val="24129D7F"/>
    <w:rsid w:val="71B6C18F"/>
    <w:rsid w:val="7D0AEA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21EDF"/>
  <w15:chartTrackingRefBased/>
  <w15:docId w15:val="{74683ABF-ED3C-4DC8-91DC-05DEADA8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zh-CN"/>
    </w:rPr>
  </w:style>
  <w:style w:type="paragraph" w:styleId="Heading1">
    <w:name w:val="heading 1"/>
    <w:basedOn w:val="Normal"/>
    <w:next w:val="Normal"/>
    <w:qFormat/>
    <w:rsid w:val="000B7A6B"/>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C302C"/>
    <w:pPr>
      <w:keepNext/>
      <w:spacing w:before="240" w:after="60"/>
      <w:outlineLvl w:val="1"/>
    </w:pPr>
    <w:rPr>
      <w:rFonts w:cs="Arial"/>
      <w:b/>
      <w:bCs/>
      <w:i/>
      <w:iCs/>
      <w:sz w:val="28"/>
      <w:szCs w:val="28"/>
    </w:rPr>
  </w:style>
  <w:style w:type="paragraph" w:styleId="Heading3">
    <w:name w:val="heading 3"/>
    <w:basedOn w:val="Normal"/>
    <w:next w:val="Normal"/>
    <w:qFormat/>
    <w:rsid w:val="00542840"/>
    <w:pPr>
      <w:keepNext/>
      <w:spacing w:before="240" w:after="60"/>
      <w:outlineLvl w:val="2"/>
    </w:pPr>
    <w:rPr>
      <w:rFonts w:cs="Arial"/>
      <w:b/>
      <w:bCs/>
      <w:sz w:val="26"/>
      <w:szCs w:val="26"/>
    </w:rPr>
  </w:style>
  <w:style w:type="paragraph" w:styleId="Heading4">
    <w:name w:val="heading 4"/>
    <w:basedOn w:val="Normal"/>
    <w:next w:val="Normal"/>
    <w:link w:val="Heading4Char"/>
    <w:autoRedefine/>
    <w:qFormat/>
    <w:rsid w:val="007C7C16"/>
    <w:pPr>
      <w:keepNext/>
      <w:tabs>
        <w:tab w:val="num" w:pos="1404"/>
      </w:tabs>
      <w:spacing w:before="240" w:after="60"/>
      <w:ind w:left="1404" w:hanging="864"/>
      <w:outlineLvl w:val="3"/>
    </w:pPr>
    <w:rPr>
      <w:rFonts w:eastAsia="Times New Roman" w:cs="Arial"/>
      <w:b/>
      <w:bCs/>
      <w:lang w:eastAsia="de-DE"/>
    </w:rPr>
  </w:style>
  <w:style w:type="paragraph" w:styleId="Heading5">
    <w:name w:val="heading 5"/>
    <w:basedOn w:val="Normal"/>
    <w:next w:val="Normal"/>
    <w:link w:val="Heading5Char"/>
    <w:autoRedefine/>
    <w:qFormat/>
    <w:rsid w:val="00486378"/>
    <w:pPr>
      <w:tabs>
        <w:tab w:val="num" w:pos="1368"/>
      </w:tabs>
      <w:spacing w:before="240" w:after="60"/>
      <w:ind w:left="1368" w:hanging="1008"/>
      <w:outlineLvl w:val="4"/>
    </w:pPr>
    <w:rPr>
      <w:rFonts w:eastAsia="Times New Roman"/>
      <w:bCs/>
      <w:i/>
      <w:iCs/>
      <w:szCs w:val="26"/>
      <w:lang w:eastAsia="de-DE"/>
    </w:rPr>
  </w:style>
  <w:style w:type="paragraph" w:styleId="Heading6">
    <w:name w:val="heading 6"/>
    <w:basedOn w:val="Normal"/>
    <w:next w:val="Normal"/>
    <w:link w:val="Heading6Char"/>
    <w:qFormat/>
    <w:rsid w:val="00486378"/>
    <w:pPr>
      <w:tabs>
        <w:tab w:val="num" w:pos="1152"/>
      </w:tabs>
      <w:spacing w:before="240" w:after="60"/>
      <w:ind w:left="1152" w:hanging="1152"/>
      <w:outlineLvl w:val="5"/>
    </w:pPr>
    <w:rPr>
      <w:rFonts w:ascii="Times New Roman" w:eastAsia="Times New Roman" w:hAnsi="Times New Roman"/>
      <w:b/>
      <w:bCs/>
      <w:sz w:val="22"/>
      <w:szCs w:val="22"/>
      <w:lang w:eastAsia="de-DE"/>
    </w:rPr>
  </w:style>
  <w:style w:type="paragraph" w:styleId="Heading7">
    <w:name w:val="heading 7"/>
    <w:basedOn w:val="Normal"/>
    <w:next w:val="Normal"/>
    <w:link w:val="Heading7Char"/>
    <w:qFormat/>
    <w:rsid w:val="00486378"/>
    <w:pPr>
      <w:tabs>
        <w:tab w:val="num" w:pos="1296"/>
      </w:tabs>
      <w:spacing w:before="240" w:after="60"/>
      <w:ind w:left="1296" w:hanging="1296"/>
      <w:outlineLvl w:val="6"/>
    </w:pPr>
    <w:rPr>
      <w:rFonts w:ascii="Times New Roman" w:eastAsia="Times New Roman" w:hAnsi="Times New Roman"/>
      <w:lang w:eastAsia="de-DE"/>
    </w:rPr>
  </w:style>
  <w:style w:type="paragraph" w:styleId="Heading8">
    <w:name w:val="heading 8"/>
    <w:basedOn w:val="Normal"/>
    <w:next w:val="Normal"/>
    <w:link w:val="Heading8Char"/>
    <w:qFormat/>
    <w:rsid w:val="00486378"/>
    <w:pPr>
      <w:tabs>
        <w:tab w:val="num" w:pos="1440"/>
      </w:tabs>
      <w:spacing w:before="240" w:after="60"/>
      <w:ind w:left="1440" w:hanging="1440"/>
      <w:outlineLvl w:val="7"/>
    </w:pPr>
    <w:rPr>
      <w:rFonts w:ascii="Times New Roman" w:eastAsia="Times New Roman" w:hAnsi="Times New Roman"/>
      <w:i/>
      <w:iCs/>
      <w:lang w:eastAsia="de-DE"/>
    </w:rPr>
  </w:style>
  <w:style w:type="paragraph" w:styleId="Heading9">
    <w:name w:val="heading 9"/>
    <w:basedOn w:val="Normal"/>
    <w:next w:val="Normal"/>
    <w:link w:val="Heading9Char"/>
    <w:qFormat/>
    <w:rsid w:val="00486378"/>
    <w:pPr>
      <w:tabs>
        <w:tab w:val="num" w:pos="1584"/>
      </w:tabs>
      <w:spacing w:before="240" w:after="60"/>
      <w:ind w:left="1584" w:hanging="1584"/>
      <w:outlineLvl w:val="8"/>
    </w:pPr>
    <w:rPr>
      <w:rFonts w:eastAsia="Times New Roman"/>
      <w:sz w:val="22"/>
      <w:szCs w:val="22"/>
      <w:lang w:eastAsia="de-DE"/>
    </w:rPr>
  </w:style>
  <w:style w:type="character" w:default="1" w:styleId="DefaultParagraphFont">
    <w:name w:val="Default Paragraph Font"/>
    <w:uiPriority w:val="1"/>
    <w:rsid w:val="000B7A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451"/>
    <w:pPr>
      <w:tabs>
        <w:tab w:val="center" w:pos="4536"/>
        <w:tab w:val="right" w:pos="9072"/>
      </w:tabs>
    </w:pPr>
  </w:style>
  <w:style w:type="paragraph" w:styleId="Footer">
    <w:name w:val="footer"/>
    <w:basedOn w:val="Normal"/>
    <w:rsid w:val="00E70451"/>
    <w:pPr>
      <w:tabs>
        <w:tab w:val="center" w:pos="4536"/>
        <w:tab w:val="right" w:pos="9072"/>
      </w:tabs>
    </w:pPr>
  </w:style>
  <w:style w:type="table" w:styleId="TableGrid">
    <w:name w:val="Table Grid"/>
    <w:basedOn w:val="TableNormal"/>
    <w:rsid w:val="00A8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Üb2"/>
    <w:basedOn w:val="Normal"/>
    <w:rsid w:val="0009286D"/>
    <w:pPr>
      <w:keepNext/>
      <w:numPr>
        <w:ilvl w:val="1"/>
        <w:numId w:val="7"/>
      </w:numPr>
      <w:spacing w:before="240" w:after="240"/>
      <w:outlineLvl w:val="1"/>
    </w:pPr>
    <w:rPr>
      <w:b/>
    </w:rPr>
  </w:style>
  <w:style w:type="paragraph" w:customStyle="1" w:styleId="b3">
    <w:name w:val="Üb3"/>
    <w:basedOn w:val="Normal"/>
    <w:rsid w:val="0009286D"/>
    <w:pPr>
      <w:keepNext/>
      <w:numPr>
        <w:ilvl w:val="2"/>
        <w:numId w:val="7"/>
      </w:numPr>
      <w:spacing w:before="240" w:after="240"/>
      <w:outlineLvl w:val="2"/>
    </w:pPr>
    <w:rPr>
      <w:b/>
      <w:sz w:val="22"/>
    </w:rPr>
  </w:style>
  <w:style w:type="paragraph" w:customStyle="1" w:styleId="Textkrper-Aufzhlung">
    <w:name w:val="Textkörper-Aufzählung"/>
    <w:basedOn w:val="Normal"/>
    <w:rsid w:val="000B7A6B"/>
    <w:pPr>
      <w:numPr>
        <w:numId w:val="4"/>
      </w:numPr>
    </w:pPr>
    <w:rPr>
      <w:rFonts w:eastAsia="Times New Roman"/>
      <w:sz w:val="20"/>
      <w:szCs w:val="20"/>
      <w:lang w:eastAsia="de-DE"/>
    </w:rPr>
  </w:style>
  <w:style w:type="paragraph" w:customStyle="1" w:styleId="b1">
    <w:name w:val="Üb1"/>
    <w:basedOn w:val="Normal"/>
    <w:rsid w:val="000B7A6B"/>
    <w:pPr>
      <w:numPr>
        <w:numId w:val="7"/>
      </w:numPr>
      <w:spacing w:before="240" w:after="240"/>
      <w:outlineLvl w:val="0"/>
    </w:pPr>
    <w:rPr>
      <w:rFonts w:cs="Arial"/>
      <w:b/>
      <w:bCs/>
      <w:kern w:val="32"/>
      <w:sz w:val="28"/>
      <w:szCs w:val="28"/>
    </w:rPr>
  </w:style>
  <w:style w:type="paragraph" w:styleId="BodyText">
    <w:name w:val="Body Text"/>
    <w:basedOn w:val="Normal"/>
    <w:link w:val="BodyTextChar"/>
    <w:rsid w:val="0009286D"/>
    <w:rPr>
      <w:sz w:val="20"/>
    </w:rPr>
  </w:style>
  <w:style w:type="paragraph" w:customStyle="1" w:styleId="b4">
    <w:name w:val="Üb4"/>
    <w:basedOn w:val="Normal"/>
    <w:rsid w:val="0009286D"/>
    <w:pPr>
      <w:keepNext/>
      <w:numPr>
        <w:ilvl w:val="3"/>
        <w:numId w:val="7"/>
      </w:numPr>
      <w:spacing w:before="240" w:after="240"/>
      <w:outlineLvl w:val="3"/>
    </w:pPr>
    <w:rPr>
      <w:b/>
      <w:sz w:val="20"/>
      <w:szCs w:val="22"/>
    </w:rPr>
  </w:style>
  <w:style w:type="paragraph" w:styleId="TOC1">
    <w:name w:val="toc 1"/>
    <w:basedOn w:val="Normal"/>
    <w:next w:val="Normal"/>
    <w:autoRedefine/>
    <w:uiPriority w:val="39"/>
    <w:rsid w:val="00A77E5A"/>
    <w:pPr>
      <w:tabs>
        <w:tab w:val="right" w:leader="dot" w:pos="8789"/>
      </w:tabs>
      <w:spacing w:before="120"/>
      <w:ind w:left="851" w:hanging="851"/>
    </w:pPr>
    <w:rPr>
      <w:rFonts w:cs="Arial"/>
      <w:b/>
      <w:sz w:val="20"/>
      <w:szCs w:val="20"/>
    </w:rPr>
  </w:style>
  <w:style w:type="paragraph" w:styleId="TOC2">
    <w:name w:val="toc 2"/>
    <w:basedOn w:val="Normal"/>
    <w:next w:val="Normal"/>
    <w:autoRedefine/>
    <w:uiPriority w:val="39"/>
    <w:rsid w:val="00B07531"/>
    <w:pPr>
      <w:tabs>
        <w:tab w:val="right" w:leader="dot" w:pos="8789"/>
      </w:tabs>
      <w:ind w:left="851" w:hanging="851"/>
    </w:pPr>
    <w:rPr>
      <w:sz w:val="20"/>
      <w:szCs w:val="20"/>
    </w:rPr>
  </w:style>
  <w:style w:type="paragraph" w:styleId="TOC3">
    <w:name w:val="toc 3"/>
    <w:basedOn w:val="Normal"/>
    <w:next w:val="Normal"/>
    <w:autoRedefine/>
    <w:uiPriority w:val="39"/>
    <w:rsid w:val="00B07531"/>
    <w:pPr>
      <w:tabs>
        <w:tab w:val="right" w:leader="dot" w:pos="8789"/>
      </w:tabs>
      <w:ind w:left="851" w:hanging="851"/>
    </w:pPr>
    <w:rPr>
      <w:sz w:val="20"/>
    </w:rPr>
  </w:style>
  <w:style w:type="character" w:styleId="Hyperlink">
    <w:name w:val="Hyperlink"/>
    <w:rsid w:val="00300663"/>
    <w:rPr>
      <w:color w:val="0000FF"/>
      <w:u w:val="single"/>
    </w:rPr>
  </w:style>
  <w:style w:type="paragraph" w:customStyle="1" w:styleId="Verison">
    <w:name w:val="Verison"/>
    <w:basedOn w:val="Normal"/>
    <w:autoRedefine/>
    <w:rsid w:val="00D4730F"/>
    <w:pPr>
      <w:spacing w:before="60"/>
    </w:pPr>
    <w:rPr>
      <w:rFonts w:eastAsia="Times New Roman"/>
      <w:b/>
      <w:bCs/>
      <w:sz w:val="20"/>
      <w:szCs w:val="20"/>
    </w:rPr>
  </w:style>
  <w:style w:type="character" w:styleId="PageNumber">
    <w:name w:val="page number"/>
    <w:basedOn w:val="DefaultParagraphFont"/>
    <w:rsid w:val="00E005FE"/>
  </w:style>
  <w:style w:type="paragraph" w:customStyle="1" w:styleId="Textkrperfett">
    <w:name w:val="Textkörper fett"/>
    <w:basedOn w:val="BodyText"/>
    <w:autoRedefine/>
    <w:rsid w:val="0009286D"/>
    <w:rPr>
      <w:rFonts w:eastAsia="Times New Roman"/>
      <w:b/>
      <w:szCs w:val="20"/>
      <w:lang w:eastAsia="de-DE"/>
    </w:rPr>
  </w:style>
  <w:style w:type="paragraph" w:customStyle="1" w:styleId="Handbuchtitel">
    <w:name w:val="Handbuchtitel"/>
    <w:basedOn w:val="Normal"/>
    <w:rsid w:val="00B44676"/>
    <w:pPr>
      <w:spacing w:before="2880"/>
      <w:jc w:val="center"/>
    </w:pPr>
    <w:rPr>
      <w:b/>
      <w:sz w:val="72"/>
      <w:szCs w:val="72"/>
    </w:rPr>
  </w:style>
  <w:style w:type="paragraph" w:customStyle="1" w:styleId="Bereich">
    <w:name w:val="Bereich"/>
    <w:basedOn w:val="Normal"/>
    <w:rsid w:val="00B44676"/>
    <w:pPr>
      <w:spacing w:before="720" w:after="3000"/>
      <w:jc w:val="center"/>
    </w:pPr>
    <w:rPr>
      <w:sz w:val="36"/>
      <w:szCs w:val="36"/>
    </w:rPr>
  </w:style>
  <w:style w:type="paragraph" w:customStyle="1" w:styleId="Verz1">
    <w:name w:val="Verz1"/>
    <w:basedOn w:val="TOC1"/>
    <w:rsid w:val="004E06FE"/>
    <w:pPr>
      <w:spacing w:before="0"/>
    </w:pPr>
    <w:rPr>
      <w:b w:val="0"/>
      <w:noProof/>
      <w:sz w:val="16"/>
    </w:rPr>
  </w:style>
  <w:style w:type="paragraph" w:customStyle="1" w:styleId="Verz2">
    <w:name w:val="Verz2"/>
    <w:basedOn w:val="TOC2"/>
    <w:rsid w:val="0017130F"/>
    <w:pPr>
      <w:tabs>
        <w:tab w:val="right" w:leader="dot" w:pos="9060"/>
      </w:tabs>
    </w:pPr>
    <w:rPr>
      <w:rFonts w:cs="Arial"/>
      <w:noProof/>
      <w:sz w:val="16"/>
    </w:rPr>
  </w:style>
  <w:style w:type="paragraph" w:customStyle="1" w:styleId="Verz3">
    <w:name w:val="Verz3"/>
    <w:basedOn w:val="TOC3"/>
    <w:rsid w:val="00DF0698"/>
    <w:rPr>
      <w:rFonts w:cs="Arial"/>
      <w:noProof/>
      <w:sz w:val="16"/>
    </w:rPr>
  </w:style>
  <w:style w:type="paragraph" w:customStyle="1" w:styleId="Vorwort">
    <w:name w:val="Vorwort"/>
    <w:basedOn w:val="Normal"/>
    <w:rsid w:val="00B51590"/>
    <w:pPr>
      <w:pageBreakBefore/>
      <w:spacing w:after="360"/>
    </w:pPr>
    <w:rPr>
      <w:b/>
      <w:sz w:val="20"/>
      <w:szCs w:val="20"/>
    </w:rPr>
  </w:style>
  <w:style w:type="paragraph" w:customStyle="1" w:styleId="TextkrperAlphaNum">
    <w:name w:val="Textkörper AlphaNum"/>
    <w:basedOn w:val="Normal"/>
    <w:rsid w:val="000B7A6B"/>
    <w:pPr>
      <w:numPr>
        <w:numId w:val="2"/>
      </w:numPr>
    </w:pPr>
    <w:rPr>
      <w:sz w:val="20"/>
    </w:rPr>
  </w:style>
  <w:style w:type="paragraph" w:customStyle="1" w:styleId="TextkrperNum">
    <w:name w:val="Textkörper Num"/>
    <w:basedOn w:val="Normal"/>
    <w:rsid w:val="000B7A6B"/>
    <w:pPr>
      <w:numPr>
        <w:numId w:val="3"/>
      </w:numPr>
    </w:pPr>
    <w:rPr>
      <w:sz w:val="20"/>
    </w:rPr>
  </w:style>
  <w:style w:type="paragraph" w:customStyle="1" w:styleId="Textkrper-AufzhlEinrck">
    <w:name w:val="Textkörper-Aufzähl Einrück"/>
    <w:basedOn w:val="Textkrper-Aufzhlung"/>
    <w:rsid w:val="000B7A6B"/>
    <w:pPr>
      <w:numPr>
        <w:numId w:val="0"/>
      </w:numPr>
    </w:pPr>
    <w:rPr>
      <w:lang w:val="en-GB"/>
    </w:rPr>
  </w:style>
  <w:style w:type="paragraph" w:customStyle="1" w:styleId="Textkrper-Aufzhlung2">
    <w:name w:val="Textkörper-Aufzählung2"/>
    <w:next w:val="Normal"/>
    <w:rsid w:val="000B7A6B"/>
    <w:pPr>
      <w:numPr>
        <w:numId w:val="5"/>
      </w:numPr>
    </w:pPr>
    <w:rPr>
      <w:rFonts w:ascii="Arial" w:eastAsia="Times New Roman" w:hAnsi="Arial"/>
      <w:lang w:val="en-US"/>
    </w:rPr>
  </w:style>
  <w:style w:type="paragraph" w:customStyle="1" w:styleId="Textkrper-Aufzhlung3">
    <w:name w:val="Textkörper-Aufzählung3"/>
    <w:basedOn w:val="Textkrper-Aufzhlung"/>
    <w:rsid w:val="000B7A6B"/>
    <w:pPr>
      <w:numPr>
        <w:numId w:val="6"/>
      </w:numPr>
    </w:pPr>
    <w:rPr>
      <w:lang w:val="en-US"/>
    </w:rPr>
  </w:style>
  <w:style w:type="paragraph" w:customStyle="1" w:styleId="berschrift">
    <w:name w:val="Überschrift"/>
    <w:basedOn w:val="Normal"/>
    <w:rsid w:val="00997D01"/>
    <w:pPr>
      <w:pageBreakBefore/>
      <w:spacing w:after="240"/>
      <w:jc w:val="center"/>
    </w:pPr>
    <w:rPr>
      <w:rFonts w:eastAsia="Times New Roman"/>
      <w:b/>
      <w:lang w:eastAsia="de-DE"/>
    </w:rPr>
  </w:style>
  <w:style w:type="paragraph" w:styleId="Caption">
    <w:name w:val="caption"/>
    <w:basedOn w:val="Normal"/>
    <w:next w:val="Normal"/>
    <w:qFormat/>
    <w:rsid w:val="00687823"/>
    <w:rPr>
      <w:b/>
      <w:bCs/>
      <w:sz w:val="20"/>
      <w:szCs w:val="20"/>
    </w:rPr>
  </w:style>
  <w:style w:type="paragraph" w:styleId="TableofFigures">
    <w:name w:val="table of figures"/>
    <w:basedOn w:val="Normal"/>
    <w:next w:val="Normal"/>
    <w:semiHidden/>
    <w:rsid w:val="004449B1"/>
    <w:rPr>
      <w:rFonts w:eastAsia="Times New Roman"/>
      <w:sz w:val="16"/>
      <w:lang w:eastAsia="en-US"/>
    </w:rPr>
  </w:style>
  <w:style w:type="paragraph" w:customStyle="1" w:styleId="Textkrperausgeblendet">
    <w:name w:val="Textkörper ausgeblendet"/>
    <w:basedOn w:val="BodyText"/>
    <w:rsid w:val="0009286D"/>
    <w:rPr>
      <w:vanish/>
      <w:color w:val="FF0000"/>
    </w:rPr>
  </w:style>
  <w:style w:type="paragraph" w:customStyle="1" w:styleId="Textkrperblaukursiv">
    <w:name w:val="Textkörper blau kursiv"/>
    <w:basedOn w:val="BodyText"/>
    <w:rsid w:val="0009286D"/>
    <w:rPr>
      <w:i/>
      <w:color w:val="0000FF"/>
    </w:rPr>
  </w:style>
  <w:style w:type="paragraph" w:customStyle="1" w:styleId="b5">
    <w:name w:val="Üb5"/>
    <w:basedOn w:val="Normal"/>
    <w:rsid w:val="0009286D"/>
    <w:pPr>
      <w:numPr>
        <w:ilvl w:val="4"/>
        <w:numId w:val="7"/>
      </w:numPr>
      <w:spacing w:before="240" w:after="240"/>
      <w:outlineLvl w:val="4"/>
    </w:pPr>
    <w:rPr>
      <w:rFonts w:eastAsia="Times New Roman"/>
      <w:b/>
      <w:sz w:val="20"/>
      <w:lang w:eastAsia="en-US"/>
    </w:rPr>
  </w:style>
  <w:style w:type="paragraph" w:styleId="TOC4">
    <w:name w:val="toc 4"/>
    <w:basedOn w:val="Normal"/>
    <w:next w:val="Normal"/>
    <w:autoRedefine/>
    <w:uiPriority w:val="39"/>
    <w:rsid w:val="0069338B"/>
    <w:pPr>
      <w:ind w:left="720"/>
    </w:pPr>
  </w:style>
  <w:style w:type="paragraph" w:customStyle="1" w:styleId="Verz2blau">
    <w:name w:val="Verz2blau"/>
    <w:basedOn w:val="Verz2"/>
    <w:next w:val="Verz2"/>
    <w:rsid w:val="00012081"/>
    <w:rPr>
      <w:i/>
      <w:color w:val="0000FF"/>
      <w:sz w:val="18"/>
    </w:rPr>
  </w:style>
  <w:style w:type="character" w:customStyle="1" w:styleId="BodyTextChar">
    <w:name w:val="Body Text Char"/>
    <w:link w:val="BodyText"/>
    <w:rsid w:val="00673A04"/>
    <w:rPr>
      <w:rFonts w:ascii="Arial" w:eastAsia="SimSun" w:hAnsi="Arial"/>
      <w:szCs w:val="24"/>
      <w:lang w:val="de-DE" w:eastAsia="zh-CN" w:bidi="ar-SA"/>
    </w:rPr>
  </w:style>
  <w:style w:type="character" w:customStyle="1" w:styleId="Heading4Char">
    <w:name w:val="Heading 4 Char"/>
    <w:link w:val="Heading4"/>
    <w:rsid w:val="007C7C16"/>
    <w:rPr>
      <w:rFonts w:ascii="Arial" w:eastAsia="Times New Roman" w:hAnsi="Arial" w:cs="Arial"/>
      <w:b/>
      <w:bCs/>
      <w:sz w:val="24"/>
      <w:szCs w:val="24"/>
    </w:rPr>
  </w:style>
  <w:style w:type="character" w:customStyle="1" w:styleId="Heading5Char">
    <w:name w:val="Heading 5 Char"/>
    <w:link w:val="Heading5"/>
    <w:rsid w:val="00486378"/>
    <w:rPr>
      <w:rFonts w:ascii="Arial" w:eastAsia="Times New Roman" w:hAnsi="Arial"/>
      <w:bCs/>
      <w:i/>
      <w:iCs/>
      <w:sz w:val="24"/>
      <w:szCs w:val="26"/>
    </w:rPr>
  </w:style>
  <w:style w:type="character" w:customStyle="1" w:styleId="Heading6Char">
    <w:name w:val="Heading 6 Char"/>
    <w:link w:val="Heading6"/>
    <w:rsid w:val="00486378"/>
    <w:rPr>
      <w:rFonts w:eastAsia="Times New Roman"/>
      <w:b/>
      <w:bCs/>
      <w:sz w:val="22"/>
      <w:szCs w:val="22"/>
    </w:rPr>
  </w:style>
  <w:style w:type="character" w:customStyle="1" w:styleId="Heading7Char">
    <w:name w:val="Heading 7 Char"/>
    <w:link w:val="Heading7"/>
    <w:rsid w:val="00486378"/>
    <w:rPr>
      <w:rFonts w:eastAsia="Times New Roman"/>
      <w:sz w:val="24"/>
      <w:szCs w:val="24"/>
    </w:rPr>
  </w:style>
  <w:style w:type="character" w:customStyle="1" w:styleId="Heading8Char">
    <w:name w:val="Heading 8 Char"/>
    <w:link w:val="Heading8"/>
    <w:rsid w:val="00486378"/>
    <w:rPr>
      <w:rFonts w:eastAsia="Times New Roman"/>
      <w:i/>
      <w:iCs/>
      <w:sz w:val="24"/>
      <w:szCs w:val="24"/>
    </w:rPr>
  </w:style>
  <w:style w:type="character" w:customStyle="1" w:styleId="Heading9Char">
    <w:name w:val="Heading 9 Char"/>
    <w:link w:val="Heading9"/>
    <w:rsid w:val="00486378"/>
    <w:rPr>
      <w:rFonts w:ascii="Arial" w:eastAsia="Times New Roman" w:hAnsi="Arial"/>
      <w:sz w:val="22"/>
      <w:szCs w:val="22"/>
    </w:rPr>
  </w:style>
  <w:style w:type="numbering" w:customStyle="1" w:styleId="KeineListe1">
    <w:name w:val="Keine Liste1"/>
    <w:next w:val="NoList"/>
    <w:semiHidden/>
    <w:rsid w:val="00486378"/>
  </w:style>
  <w:style w:type="table" w:styleId="TableTheme">
    <w:name w:val="Table Theme"/>
    <w:basedOn w:val="TableNormal"/>
    <w:rsid w:val="00486378"/>
    <w:rPr>
      <w:rFonts w:eastAsia="Times New Roman"/>
    </w:rPr>
    <w:tblPr>
      <w:tblBorders>
        <w:top w:val="single" w:sz="4" w:space="0" w:color="FFCC33"/>
        <w:left w:val="single" w:sz="4" w:space="0" w:color="FFCC33"/>
        <w:bottom w:val="single" w:sz="4" w:space="0" w:color="FFCC33"/>
        <w:right w:val="single" w:sz="4" w:space="0" w:color="FFCC33"/>
        <w:insideH w:val="single" w:sz="4" w:space="0" w:color="FFCC33"/>
        <w:insideV w:val="single" w:sz="4" w:space="0" w:color="FFCC33"/>
      </w:tblBorders>
    </w:tblPr>
  </w:style>
  <w:style w:type="character" w:customStyle="1" w:styleId="a">
    <w:rsid w:val="000B7A6B"/>
    <w:rPr>
      <w:color w:val="800080"/>
      <w:u w:val="single"/>
    </w:rPr>
  </w:style>
  <w:style w:type="paragraph" w:styleId="TOC5">
    <w:name w:val="toc 5"/>
    <w:basedOn w:val="Normal"/>
    <w:next w:val="Normal"/>
    <w:autoRedefine/>
    <w:rsid w:val="00486378"/>
    <w:pPr>
      <w:ind w:left="720"/>
    </w:pPr>
    <w:rPr>
      <w:rFonts w:ascii="Times New Roman" w:eastAsia="Times New Roman" w:hAnsi="Times New Roman"/>
      <w:sz w:val="20"/>
      <w:szCs w:val="20"/>
      <w:lang w:eastAsia="de-DE"/>
    </w:rPr>
  </w:style>
  <w:style w:type="paragraph" w:styleId="TOC6">
    <w:name w:val="toc 6"/>
    <w:basedOn w:val="Normal"/>
    <w:next w:val="Normal"/>
    <w:autoRedefine/>
    <w:rsid w:val="00486378"/>
    <w:pPr>
      <w:ind w:left="960"/>
    </w:pPr>
    <w:rPr>
      <w:rFonts w:ascii="Times New Roman" w:eastAsia="Times New Roman" w:hAnsi="Times New Roman"/>
      <w:sz w:val="20"/>
      <w:szCs w:val="20"/>
      <w:lang w:eastAsia="de-DE"/>
    </w:rPr>
  </w:style>
  <w:style w:type="paragraph" w:styleId="TOC7">
    <w:name w:val="toc 7"/>
    <w:basedOn w:val="Normal"/>
    <w:next w:val="Normal"/>
    <w:autoRedefine/>
    <w:rsid w:val="00486378"/>
    <w:pPr>
      <w:ind w:left="1200"/>
    </w:pPr>
    <w:rPr>
      <w:rFonts w:ascii="Times New Roman" w:eastAsia="Times New Roman" w:hAnsi="Times New Roman"/>
      <w:sz w:val="20"/>
      <w:szCs w:val="20"/>
      <w:lang w:eastAsia="de-DE"/>
    </w:rPr>
  </w:style>
  <w:style w:type="paragraph" w:styleId="TOC8">
    <w:name w:val="toc 8"/>
    <w:basedOn w:val="Normal"/>
    <w:next w:val="Normal"/>
    <w:autoRedefine/>
    <w:rsid w:val="00486378"/>
    <w:pPr>
      <w:ind w:left="1440"/>
    </w:pPr>
    <w:rPr>
      <w:rFonts w:ascii="Times New Roman" w:eastAsia="Times New Roman" w:hAnsi="Times New Roman"/>
      <w:sz w:val="20"/>
      <w:szCs w:val="20"/>
      <w:lang w:eastAsia="de-DE"/>
    </w:rPr>
  </w:style>
  <w:style w:type="paragraph" w:styleId="TOC9">
    <w:name w:val="toc 9"/>
    <w:basedOn w:val="Normal"/>
    <w:next w:val="Normal"/>
    <w:autoRedefine/>
    <w:rsid w:val="00486378"/>
    <w:pPr>
      <w:ind w:left="1680"/>
    </w:pPr>
    <w:rPr>
      <w:rFonts w:ascii="Times New Roman" w:eastAsia="Times New Roman" w:hAnsi="Times New Roman"/>
      <w:sz w:val="20"/>
      <w:szCs w:val="20"/>
      <w:lang w:eastAsia="de-DE"/>
    </w:rPr>
  </w:style>
  <w:style w:type="paragraph" w:styleId="BalloonText">
    <w:name w:val="Balloon Text"/>
    <w:basedOn w:val="Normal"/>
    <w:link w:val="BalloonTextChar"/>
    <w:rsid w:val="00486378"/>
    <w:rPr>
      <w:rFonts w:ascii="Tahoma" w:eastAsia="Times New Roman" w:hAnsi="Tahoma" w:cs="Tahoma"/>
      <w:sz w:val="16"/>
      <w:szCs w:val="16"/>
      <w:lang w:eastAsia="de-DE"/>
    </w:rPr>
  </w:style>
  <w:style w:type="character" w:customStyle="1" w:styleId="BalloonTextChar">
    <w:name w:val="Balloon Text Char"/>
    <w:link w:val="BalloonText"/>
    <w:rsid w:val="00486378"/>
    <w:rPr>
      <w:rFonts w:ascii="Tahoma" w:eastAsia="Times New Roman" w:hAnsi="Tahoma" w:cs="Tahoma"/>
      <w:sz w:val="16"/>
      <w:szCs w:val="16"/>
    </w:rPr>
  </w:style>
  <w:style w:type="table" w:customStyle="1" w:styleId="Tabellenraster1">
    <w:name w:val="Tabellenraster1"/>
    <w:basedOn w:val="TableNormal"/>
    <w:next w:val="TableGrid"/>
    <w:rsid w:val="004863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86378"/>
    <w:rPr>
      <w:b/>
      <w:bCs/>
    </w:rPr>
  </w:style>
  <w:style w:type="character" w:styleId="CommentReference">
    <w:name w:val="annotation reference"/>
    <w:rsid w:val="00486378"/>
    <w:rPr>
      <w:sz w:val="16"/>
      <w:szCs w:val="16"/>
    </w:rPr>
  </w:style>
  <w:style w:type="paragraph" w:styleId="CommentText">
    <w:name w:val="annotation text"/>
    <w:basedOn w:val="Normal"/>
    <w:link w:val="CommentTextChar"/>
    <w:rsid w:val="00486378"/>
    <w:rPr>
      <w:rFonts w:eastAsia="Times New Roman"/>
      <w:sz w:val="20"/>
      <w:szCs w:val="20"/>
      <w:lang w:eastAsia="de-DE"/>
    </w:rPr>
  </w:style>
  <w:style w:type="character" w:customStyle="1" w:styleId="CommentTextChar">
    <w:name w:val="Comment Text Char"/>
    <w:link w:val="CommentText"/>
    <w:rsid w:val="00486378"/>
    <w:rPr>
      <w:rFonts w:ascii="Arial" w:eastAsia="Times New Roman" w:hAnsi="Arial"/>
    </w:rPr>
  </w:style>
  <w:style w:type="paragraph" w:styleId="CommentSubject">
    <w:name w:val="annotation subject"/>
    <w:basedOn w:val="CommentText"/>
    <w:next w:val="CommentText"/>
    <w:link w:val="CommentSubjectChar"/>
    <w:rsid w:val="00486378"/>
    <w:rPr>
      <w:b/>
      <w:bCs/>
    </w:rPr>
  </w:style>
  <w:style w:type="character" w:customStyle="1" w:styleId="CommentSubjectChar">
    <w:name w:val="Comment Subject Char"/>
    <w:link w:val="CommentSubject"/>
    <w:rsid w:val="00486378"/>
    <w:rPr>
      <w:rFonts w:ascii="Arial" w:eastAsia="Times New Roman" w:hAnsi="Arial"/>
      <w:b/>
      <w:bCs/>
    </w:rPr>
  </w:style>
  <w:style w:type="paragraph" w:customStyle="1" w:styleId="Formatvorlageberschrift2Arial12ptFett">
    <w:name w:val="Formatvorlage Überschrift 2 + Arial 12 pt Fett"/>
    <w:basedOn w:val="Heading2"/>
    <w:rsid w:val="00486378"/>
    <w:pPr>
      <w:numPr>
        <w:ilvl w:val="1"/>
        <w:numId w:val="1"/>
      </w:numPr>
      <w:tabs>
        <w:tab w:val="clear" w:pos="851"/>
        <w:tab w:val="num" w:pos="576"/>
      </w:tabs>
      <w:ind w:left="578" w:hanging="578"/>
    </w:pPr>
    <w:rPr>
      <w:rFonts w:eastAsia="Times New Roman" w:cs="Times New Roman"/>
      <w:b w:val="0"/>
      <w:bCs w:val="0"/>
      <w:i w:val="0"/>
      <w:iCs w:val="0"/>
      <w:sz w:val="24"/>
      <w:lang w:eastAsia="de-DE"/>
    </w:rPr>
  </w:style>
  <w:style w:type="paragraph" w:customStyle="1" w:styleId="Formatvorlageberschrift1Arial12pt">
    <w:name w:val="Formatvorlage Überschrift 1 + Arial 12 pt"/>
    <w:basedOn w:val="Heading1"/>
    <w:rsid w:val="00486378"/>
    <w:pPr>
      <w:pageBreakBefore/>
      <w:tabs>
        <w:tab w:val="clear" w:pos="851"/>
        <w:tab w:val="num" w:pos="432"/>
      </w:tabs>
      <w:ind w:left="432" w:hanging="432"/>
    </w:pPr>
    <w:rPr>
      <w:rFonts w:eastAsia="Times New Roman" w:cs="Times New Roman"/>
      <w:sz w:val="24"/>
      <w:lang w:eastAsia="de-DE"/>
    </w:rPr>
  </w:style>
  <w:style w:type="paragraph" w:customStyle="1" w:styleId="Formatvorlageberschrift2Arial12pt">
    <w:name w:val="Formatvorlage Überschrift 2 + Arial 12 pt"/>
    <w:basedOn w:val="Heading2"/>
    <w:rsid w:val="000B7A6B"/>
    <w:pPr>
      <w:tabs>
        <w:tab w:val="num" w:pos="576"/>
      </w:tabs>
      <w:ind w:left="576" w:hanging="576"/>
    </w:pPr>
    <w:rPr>
      <w:rFonts w:eastAsia="Times New Roman" w:cs="Times New Roman"/>
      <w:b w:val="0"/>
      <w:i w:val="0"/>
      <w:iCs w:val="0"/>
      <w:sz w:val="24"/>
      <w:szCs w:val="24"/>
      <w:lang w:eastAsia="de-DE"/>
    </w:rPr>
  </w:style>
  <w:style w:type="paragraph" w:styleId="DocumentMap">
    <w:name w:val="Document Map"/>
    <w:basedOn w:val="Normal"/>
    <w:link w:val="DocumentMapChar"/>
    <w:rsid w:val="00486378"/>
    <w:pPr>
      <w:shd w:val="clear" w:color="auto" w:fill="000080"/>
    </w:pPr>
    <w:rPr>
      <w:rFonts w:ascii="Tahoma" w:eastAsia="Times New Roman" w:hAnsi="Tahoma" w:cs="Tahoma"/>
      <w:sz w:val="20"/>
      <w:szCs w:val="20"/>
      <w:lang w:eastAsia="de-DE"/>
    </w:rPr>
  </w:style>
  <w:style w:type="character" w:customStyle="1" w:styleId="DocumentMapChar">
    <w:name w:val="Document Map Char"/>
    <w:link w:val="DocumentMap"/>
    <w:rsid w:val="00486378"/>
    <w:rPr>
      <w:rFonts w:ascii="Tahoma" w:eastAsia="Times New Roman" w:hAnsi="Tahoma" w:cs="Tahoma"/>
      <w:shd w:val="clear" w:color="auto" w:fill="000080"/>
    </w:rPr>
  </w:style>
  <w:style w:type="paragraph" w:customStyle="1" w:styleId="Formatvorlageberschrift411pt">
    <w:name w:val="Formatvorlage Überschrift 4 + 11 pt"/>
    <w:basedOn w:val="Heading4"/>
    <w:link w:val="Formatvorlageberschrift411ptZchn"/>
    <w:rsid w:val="00486378"/>
    <w:pPr>
      <w:numPr>
        <w:ilvl w:val="3"/>
        <w:numId w:val="1"/>
      </w:numPr>
      <w:tabs>
        <w:tab w:val="clear" w:pos="864"/>
        <w:tab w:val="num" w:pos="1404"/>
      </w:tabs>
      <w:ind w:left="1404"/>
    </w:pPr>
    <w:rPr>
      <w:szCs w:val="22"/>
    </w:rPr>
  </w:style>
  <w:style w:type="character" w:customStyle="1" w:styleId="Formatvorlageberschrift411ptZchn">
    <w:name w:val="Formatvorlage Überschrift 4 + 11 pt Zchn"/>
    <w:link w:val="Formatvorlageberschrift411pt"/>
    <w:rsid w:val="00486378"/>
    <w:rPr>
      <w:rFonts w:ascii="Arial" w:eastAsia="Times New Roman" w:hAnsi="Arial" w:cs="Arial"/>
      <w:b/>
      <w:bCs/>
      <w:sz w:val="24"/>
      <w:szCs w:val="22"/>
    </w:rPr>
  </w:style>
  <w:style w:type="paragraph" w:styleId="Revision">
    <w:name w:val="Revision"/>
    <w:hidden/>
    <w:uiPriority w:val="99"/>
    <w:semiHidden/>
    <w:rsid w:val="00F87EBF"/>
    <w:rPr>
      <w:rFonts w:ascii="Arial" w:hAnsi="Arial"/>
      <w:sz w:val="24"/>
      <w:szCs w:val="24"/>
      <w:lang w:eastAsia="zh-CN"/>
    </w:rPr>
  </w:style>
  <w:style w:type="character" w:styleId="UnresolvedMention">
    <w:name w:val="Unresolved Mention"/>
    <w:basedOn w:val="DefaultParagraphFont"/>
    <w:uiPriority w:val="99"/>
    <w:semiHidden/>
    <w:unhideWhenUsed/>
    <w:rsid w:val="00C91755"/>
    <w:rPr>
      <w:color w:val="605E5C"/>
      <w:shd w:val="clear" w:color="auto" w:fill="E1DFDD"/>
    </w:rPr>
  </w:style>
  <w:style w:type="character" w:styleId="FollowedHyperlink">
    <w:name w:val="FollowedHyperlink"/>
    <w:basedOn w:val="DefaultParagraphFont"/>
    <w:rsid w:val="000B7A6B"/>
    <w:rPr>
      <w:color w:val="96607D" w:themeColor="followedHyperlink"/>
      <w:u w:val="single"/>
    </w:rPr>
  </w:style>
  <w:style w:type="character" w:customStyle="1" w:styleId="BesuchterHyperlink">
    <w:name w:val="BesuchterHyperlink"/>
    <w:rsid w:val="000B7A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8164">
      <w:bodyDiv w:val="1"/>
      <w:marLeft w:val="0"/>
      <w:marRight w:val="0"/>
      <w:marTop w:val="0"/>
      <w:marBottom w:val="0"/>
      <w:divBdr>
        <w:top w:val="none" w:sz="0" w:space="0" w:color="auto"/>
        <w:left w:val="none" w:sz="0" w:space="0" w:color="auto"/>
        <w:bottom w:val="none" w:sz="0" w:space="0" w:color="auto"/>
        <w:right w:val="none" w:sz="0" w:space="0" w:color="auto"/>
      </w:divBdr>
    </w:div>
    <w:div w:id="136191639">
      <w:bodyDiv w:val="1"/>
      <w:marLeft w:val="0"/>
      <w:marRight w:val="0"/>
      <w:marTop w:val="0"/>
      <w:marBottom w:val="0"/>
      <w:divBdr>
        <w:top w:val="none" w:sz="0" w:space="0" w:color="auto"/>
        <w:left w:val="none" w:sz="0" w:space="0" w:color="auto"/>
        <w:bottom w:val="none" w:sz="0" w:space="0" w:color="auto"/>
        <w:right w:val="none" w:sz="0" w:space="0" w:color="auto"/>
      </w:divBdr>
    </w:div>
    <w:div w:id="1132362893">
      <w:bodyDiv w:val="1"/>
      <w:marLeft w:val="0"/>
      <w:marRight w:val="0"/>
      <w:marTop w:val="0"/>
      <w:marBottom w:val="0"/>
      <w:divBdr>
        <w:top w:val="none" w:sz="0" w:space="0" w:color="auto"/>
        <w:left w:val="none" w:sz="0" w:space="0" w:color="auto"/>
        <w:bottom w:val="none" w:sz="0" w:space="0" w:color="auto"/>
        <w:right w:val="none" w:sz="0" w:space="0" w:color="auto"/>
      </w:divBdr>
    </w:div>
    <w:div w:id="1716347666">
      <w:bodyDiv w:val="1"/>
      <w:marLeft w:val="0"/>
      <w:marRight w:val="0"/>
      <w:marTop w:val="0"/>
      <w:marBottom w:val="0"/>
      <w:divBdr>
        <w:top w:val="none" w:sz="0" w:space="0" w:color="auto"/>
        <w:left w:val="none" w:sz="0" w:space="0" w:color="auto"/>
        <w:bottom w:val="none" w:sz="0" w:space="0" w:color="auto"/>
        <w:right w:val="none" w:sz="0" w:space="0" w:color="auto"/>
      </w:divBdr>
    </w:div>
    <w:div w:id="17509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site/de/oj/2006/l_300/l_30020061031de00050008.pdf"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bba.bund.d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4.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ngl-Th\Desktop\Theresa\Manuals\Manual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5865-5065-49AF-BD92-3CD39D98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Manual_DE.dot</Template>
  <TotalTime>0</TotalTime>
  <Pages>1</Pages>
  <Words>7229</Words>
  <Characters>41206</Characters>
  <Application>Microsoft Office Word</Application>
  <DocSecurity>4</DocSecurity>
  <Lines>343</Lines>
  <Paragraphs>96</Paragraphs>
  <ScaleCrop>false</ScaleCrop>
  <HeadingPairs>
    <vt:vector size="2" baseType="variant">
      <vt:variant>
        <vt:lpstr>Titel</vt:lpstr>
      </vt:variant>
      <vt:variant>
        <vt:i4>1</vt:i4>
      </vt:variant>
    </vt:vector>
  </HeadingPairs>
  <TitlesOfParts>
    <vt:vector size="1" baseType="lpstr">
      <vt:lpstr>Vorlage Handbuch</vt:lpstr>
    </vt:vector>
  </TitlesOfParts>
  <Company>GRAMMER AG</Company>
  <LinksUpToDate>false</LinksUpToDate>
  <CharactersWithSpaces>48339</CharactersWithSpaces>
  <SharedDoc>false</SharedDoc>
  <HLinks>
    <vt:vector size="12" baseType="variant">
      <vt:variant>
        <vt:i4>7274601</vt:i4>
      </vt:variant>
      <vt:variant>
        <vt:i4>120</vt:i4>
      </vt:variant>
      <vt:variant>
        <vt:i4>0</vt:i4>
      </vt:variant>
      <vt:variant>
        <vt:i4>5</vt:i4>
      </vt:variant>
      <vt:variant>
        <vt:lpwstr>http://www.bba.bund.de/</vt:lpwstr>
      </vt:variant>
      <vt:variant>
        <vt:lpwstr/>
      </vt:variant>
      <vt:variant>
        <vt:i4>6094933</vt:i4>
      </vt:variant>
      <vt:variant>
        <vt:i4>117</vt:i4>
      </vt:variant>
      <vt:variant>
        <vt:i4>0</vt:i4>
      </vt:variant>
      <vt:variant>
        <vt:i4>5</vt:i4>
      </vt:variant>
      <vt:variant>
        <vt:lpwstr>http://eur-lex.europa.eu/LexUriServ/site/de/oj/2006/l_300/l_30020061031de00050008.pdf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Handbuch</dc:title>
  <dc:subject/>
  <dc:creator>Stangl Theresa</dc:creator>
  <cp:keywords/>
  <cp:lastModifiedBy>Schindzielorz Gerhard</cp:lastModifiedBy>
  <cp:revision>21</cp:revision>
  <dcterms:created xsi:type="dcterms:W3CDTF">2024-10-23T13:25:00Z</dcterms:created>
  <dcterms:modified xsi:type="dcterms:W3CDTF">2025-01-21T09:05:00Z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5c184554,6c05bc6c,760512f6</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bef7539a-bdbf-451e-94f0-be3f22f091e9_Enabled">
    <vt:lpwstr>true</vt:lpwstr>
  </property>
  <property fmtid="{D5CDD505-2E9C-101B-9397-08002B2CF9AE}" pid="6" name="MSIP_Label_bef7539a-bdbf-451e-94f0-be3f22f091e9_SetDate">
    <vt:lpwstr>2024-10-31T07:27:56Z</vt:lpwstr>
  </property>
  <property fmtid="{D5CDD505-2E9C-101B-9397-08002B2CF9AE}" pid="7" name="MSIP_Label_bef7539a-bdbf-451e-94f0-be3f22f091e9_Method">
    <vt:lpwstr>Privileged</vt:lpwstr>
  </property>
  <property fmtid="{D5CDD505-2E9C-101B-9397-08002B2CF9AE}" pid="8" name="MSIP_Label_bef7539a-bdbf-451e-94f0-be3f22f091e9_Name">
    <vt:lpwstr>Public</vt:lpwstr>
  </property>
  <property fmtid="{D5CDD505-2E9C-101B-9397-08002B2CF9AE}" pid="9" name="MSIP_Label_bef7539a-bdbf-451e-94f0-be3f22f091e9_SiteId">
    <vt:lpwstr>63d63981-8f40-4ab2-a0cc-299291d700fc</vt:lpwstr>
  </property>
  <property fmtid="{D5CDD505-2E9C-101B-9397-08002B2CF9AE}" pid="10" name="MSIP_Label_bef7539a-bdbf-451e-94f0-be3f22f091e9_ActionId">
    <vt:lpwstr>e496b4af-c325-4697-ad08-60046488e2a3</vt:lpwstr>
  </property>
  <property fmtid="{D5CDD505-2E9C-101B-9397-08002B2CF9AE}" pid="11" name="MSIP_Label_bef7539a-bdbf-451e-94f0-be3f22f091e9_ContentBits">
    <vt:lpwstr>2</vt:lpwstr>
  </property>
</Properties>
</file>